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1D1EF36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DC6172">
        <w:rPr>
          <w:rFonts w:ascii="Arial" w:hAnsi="Arial" w:cs="Arial"/>
          <w:sz w:val="24"/>
          <w:szCs w:val="28"/>
          <w:lang w:val="en-CA"/>
        </w:rPr>
        <w:t>bis</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A747B9">
        <w:rPr>
          <w:rFonts w:ascii="Arial" w:hAnsi="Arial" w:cs="Arial"/>
          <w:sz w:val="24"/>
          <w:szCs w:val="28"/>
          <w:lang w:val="en-CA"/>
        </w:rPr>
        <w:t>0</w:t>
      </w:r>
      <w:r w:rsidR="00472224">
        <w:rPr>
          <w:rFonts w:ascii="Arial" w:hAnsi="Arial" w:cs="Arial"/>
          <w:sz w:val="24"/>
          <w:szCs w:val="28"/>
          <w:lang w:val="en-CA"/>
        </w:rPr>
        <w:t>6885</w:t>
      </w:r>
    </w:p>
    <w:p w14:paraId="4F58942D" w14:textId="18C180E8"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DC6172">
        <w:rPr>
          <w:rFonts w:ascii="Arial" w:hAnsi="Arial" w:cs="Arial"/>
          <w:sz w:val="24"/>
          <w:szCs w:val="28"/>
          <w:lang w:val="en-CA"/>
        </w:rPr>
        <w:t>April</w:t>
      </w:r>
      <w:r w:rsidR="00142C2E">
        <w:rPr>
          <w:rFonts w:ascii="Arial" w:hAnsi="Arial" w:cs="Arial"/>
          <w:sz w:val="24"/>
          <w:szCs w:val="28"/>
          <w:lang w:val="en-CA"/>
        </w:rPr>
        <w:t xml:space="preserve"> </w:t>
      </w:r>
      <w:r w:rsidR="00DC6172">
        <w:rPr>
          <w:rFonts w:ascii="Arial" w:hAnsi="Arial" w:cs="Arial"/>
          <w:sz w:val="24"/>
          <w:szCs w:val="28"/>
          <w:lang w:val="en-CA"/>
        </w:rPr>
        <w:t>12</w:t>
      </w:r>
      <w:r w:rsidR="00142C2E">
        <w:rPr>
          <w:rFonts w:ascii="Arial" w:hAnsi="Arial" w:cs="Arial"/>
          <w:sz w:val="24"/>
          <w:szCs w:val="28"/>
          <w:lang w:val="en-CA"/>
        </w:rPr>
        <w:t xml:space="preserve"> </w:t>
      </w:r>
      <w:r w:rsidR="00946E1F">
        <w:rPr>
          <w:rFonts w:ascii="Arial" w:hAnsi="Arial" w:cs="Arial"/>
          <w:sz w:val="24"/>
          <w:szCs w:val="28"/>
          <w:lang w:val="en-CA"/>
        </w:rPr>
        <w:t xml:space="preserve">– </w:t>
      </w:r>
      <w:r w:rsidR="00DC6172">
        <w:rPr>
          <w:rFonts w:ascii="Arial" w:hAnsi="Arial" w:cs="Arial"/>
          <w:sz w:val="24"/>
          <w:szCs w:val="28"/>
          <w:lang w:val="en-CA"/>
        </w:rPr>
        <w:t>20</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12E13B71"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5079D1">
        <w:rPr>
          <w:rFonts w:ascii="Arial" w:hAnsi="Arial" w:cs="Arial"/>
          <w:sz w:val="22"/>
          <w:szCs w:val="22"/>
          <w:lang w:val="en-US"/>
        </w:rPr>
        <w:t>5</w:t>
      </w:r>
      <w:r w:rsidR="006F4378" w:rsidRPr="006F4378">
        <w:rPr>
          <w:rFonts w:ascii="Arial" w:hAnsi="Arial" w:cs="Arial"/>
          <w:sz w:val="22"/>
          <w:szCs w:val="22"/>
          <w:lang w:val="en-US"/>
        </w:rPr>
        <w:t>.4.</w:t>
      </w:r>
      <w:r w:rsidR="005079D1">
        <w:rPr>
          <w:rFonts w:ascii="Arial" w:hAnsi="Arial" w:cs="Arial"/>
          <w:sz w:val="22"/>
          <w:szCs w:val="22"/>
          <w:lang w:val="en-US"/>
        </w:rPr>
        <w:t>1</w:t>
      </w:r>
      <w:r w:rsidR="006F4378" w:rsidRPr="006F4378">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77DF037" w:rsidR="00C43625"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A06AB4">
        <w:rPr>
          <w:rFonts w:ascii="Arial" w:hAnsi="Arial" w:cs="Arial"/>
          <w:sz w:val="22"/>
          <w:szCs w:val="22"/>
          <w:lang w:val="en-CA"/>
        </w:rPr>
        <w:t>core maintenance for MR-DC</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20A71DD6" w:rsid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305137" w14:textId="4E9F668D" w:rsidR="005079D1" w:rsidRDefault="00DA3C0F" w:rsidP="00DA3C0F">
      <w:pPr>
        <w:spacing w:after="120"/>
        <w:rPr>
          <w:sz w:val="22"/>
          <w:szCs w:val="22"/>
          <w:lang w:val="en-CA"/>
        </w:rPr>
      </w:pPr>
      <w:r>
        <w:rPr>
          <w:sz w:val="22"/>
          <w:szCs w:val="22"/>
          <w:lang w:val="en-CA"/>
        </w:rPr>
        <w:t>After RAN4#98e there were two outstanding issues related to Direct SCell activation:</w:t>
      </w:r>
    </w:p>
    <w:p w14:paraId="542E15CC" w14:textId="431B148E" w:rsidR="00DA3C0F" w:rsidRDefault="00DA3C0F" w:rsidP="00DA3C0F">
      <w:pPr>
        <w:pStyle w:val="ListParagraph"/>
        <w:numPr>
          <w:ilvl w:val="0"/>
          <w:numId w:val="44"/>
        </w:numPr>
        <w:spacing w:after="0"/>
        <w:rPr>
          <w:sz w:val="22"/>
          <w:szCs w:val="22"/>
          <w:lang w:val="en-CA"/>
        </w:rPr>
      </w:pPr>
      <w:r>
        <w:rPr>
          <w:sz w:val="22"/>
          <w:szCs w:val="22"/>
          <w:lang w:val="en-CA"/>
        </w:rPr>
        <w:t>How to handle TCI state activation</w:t>
      </w:r>
    </w:p>
    <w:p w14:paraId="3E35126A" w14:textId="0DAB380E" w:rsidR="00DA3C0F" w:rsidRDefault="00DA3C0F" w:rsidP="00DA3C0F">
      <w:pPr>
        <w:pStyle w:val="ListParagraph"/>
        <w:numPr>
          <w:ilvl w:val="0"/>
          <w:numId w:val="44"/>
        </w:numPr>
        <w:rPr>
          <w:sz w:val="22"/>
          <w:szCs w:val="22"/>
          <w:lang w:val="en-CA"/>
        </w:rPr>
      </w:pPr>
      <w:r>
        <w:rPr>
          <w:sz w:val="22"/>
          <w:szCs w:val="22"/>
          <w:lang w:val="en-CA"/>
        </w:rPr>
        <w:t>Branching of Direct SCell activation delay requirement based on measurement rate.</w:t>
      </w:r>
    </w:p>
    <w:p w14:paraId="46C4872F" w14:textId="351867B4" w:rsidR="00515947" w:rsidRPr="005E6DDB" w:rsidRDefault="0052582B" w:rsidP="00142C2E">
      <w:pPr>
        <w:rPr>
          <w:sz w:val="22"/>
        </w:rPr>
      </w:pPr>
      <w:r>
        <w:rPr>
          <w:sz w:val="22"/>
          <w:lang w:val="en-CA"/>
        </w:rPr>
        <w:t xml:space="preserve">In this </w:t>
      </w:r>
      <w:r w:rsidRPr="003843B4">
        <w:rPr>
          <w:sz w:val="22"/>
          <w:lang w:val="en-CA"/>
        </w:rPr>
        <w:t>contribution we provide our view on the open issues.</w:t>
      </w:r>
    </w:p>
    <w:p w14:paraId="08D6E72C" w14:textId="3DE675EB" w:rsidR="00BB4BE9" w:rsidRDefault="00515947" w:rsidP="0052582B">
      <w:pPr>
        <w:pStyle w:val="Heading1"/>
        <w:ind w:left="431" w:hanging="431"/>
        <w:rPr>
          <w:szCs w:val="36"/>
          <w:lang w:val="en-CA"/>
        </w:rPr>
      </w:pPr>
      <w:r>
        <w:rPr>
          <w:szCs w:val="36"/>
          <w:lang w:val="en-CA"/>
        </w:rPr>
        <w:t>Discussion</w:t>
      </w:r>
    </w:p>
    <w:p w14:paraId="4D468912" w14:textId="702980A8" w:rsidR="00DA3C0F" w:rsidRDefault="00DA3C0F" w:rsidP="00DA3C0F">
      <w:pPr>
        <w:pStyle w:val="Heading2"/>
        <w:rPr>
          <w:lang w:val="en-CA"/>
        </w:rPr>
      </w:pPr>
      <w:r>
        <w:rPr>
          <w:lang w:val="en-CA"/>
        </w:rPr>
        <w:t>TCI state activation at Direct SCell activation</w:t>
      </w:r>
    </w:p>
    <w:p w14:paraId="135D3885" w14:textId="77777777" w:rsidR="001E4F34" w:rsidRDefault="00DA3C0F" w:rsidP="00DA3C0F">
      <w:pPr>
        <w:rPr>
          <w:sz w:val="22"/>
          <w:szCs w:val="22"/>
          <w:lang w:val="en-CA"/>
        </w:rPr>
      </w:pPr>
      <w:r>
        <w:rPr>
          <w:sz w:val="22"/>
          <w:szCs w:val="22"/>
          <w:lang w:val="en-CA"/>
        </w:rPr>
        <w:t>This issue concerns how to activate TCI state at D</w:t>
      </w:r>
      <w:r w:rsidR="001C29EC">
        <w:rPr>
          <w:sz w:val="22"/>
          <w:szCs w:val="22"/>
          <w:lang w:val="en-CA"/>
        </w:rPr>
        <w:t>i</w:t>
      </w:r>
      <w:r>
        <w:rPr>
          <w:sz w:val="22"/>
          <w:szCs w:val="22"/>
          <w:lang w:val="en-CA"/>
        </w:rPr>
        <w:t>rect SCell activation. The background is that when more than one TCI state is defined for a cell, MAC activation of the TCI state is needed. When only a single TCI state is define</w:t>
      </w:r>
      <w:r w:rsidR="007965F9">
        <w:rPr>
          <w:sz w:val="22"/>
          <w:szCs w:val="22"/>
          <w:lang w:val="en-CA"/>
        </w:rPr>
        <w:t>d</w:t>
      </w:r>
      <w:r>
        <w:rPr>
          <w:sz w:val="22"/>
          <w:szCs w:val="22"/>
          <w:lang w:val="en-CA"/>
        </w:rPr>
        <w:t>, UE automatically applies that TCI state.</w:t>
      </w:r>
      <w:r w:rsidR="007965F9">
        <w:rPr>
          <w:sz w:val="22"/>
          <w:szCs w:val="22"/>
          <w:lang w:val="en-CA"/>
        </w:rPr>
        <w:t xml:space="preserve"> </w:t>
      </w:r>
    </w:p>
    <w:p w14:paraId="2BF49CEA" w14:textId="77777777" w:rsidR="00BE5271" w:rsidRDefault="007965F9" w:rsidP="00DA3C0F">
      <w:pPr>
        <w:rPr>
          <w:sz w:val="22"/>
          <w:szCs w:val="22"/>
          <w:lang w:val="en-CA"/>
        </w:rPr>
      </w:pPr>
      <w:r>
        <w:rPr>
          <w:sz w:val="22"/>
          <w:szCs w:val="22"/>
          <w:lang w:val="en-CA"/>
        </w:rPr>
        <w:t>MAC activation of TCI state would add to the activation timeline for Direct SCell activation</w:t>
      </w:r>
      <w:r w:rsidR="00BE5271">
        <w:rPr>
          <w:sz w:val="22"/>
          <w:szCs w:val="22"/>
          <w:lang w:val="en-CA"/>
        </w:rPr>
        <w:t>. Therefore at RAN4#97e an LS was sent to RAN1 and RAN2, where it was pointed out that TCI state activation is not included in the RRC command that triggers Direct SCell activation.</w:t>
      </w:r>
    </w:p>
    <w:p w14:paraId="782FF924" w14:textId="0783A716" w:rsidR="001C29EC" w:rsidRDefault="001C29EC" w:rsidP="00DA3C0F">
      <w:pPr>
        <w:rPr>
          <w:sz w:val="22"/>
          <w:szCs w:val="22"/>
          <w:lang w:val="en-CA"/>
        </w:rPr>
      </w:pPr>
      <w:r>
        <w:rPr>
          <w:sz w:val="22"/>
          <w:szCs w:val="22"/>
          <w:lang w:val="en-CA"/>
        </w:rPr>
        <w:t>RAN1 has now replied to the LS</w:t>
      </w:r>
      <w:r w:rsidR="00FF5754">
        <w:rPr>
          <w:sz w:val="22"/>
          <w:szCs w:val="22"/>
          <w:lang w:val="en-CA"/>
        </w:rPr>
        <w:t xml:space="preserve">, </w:t>
      </w:r>
      <w:r w:rsidR="00FF5754">
        <w:rPr>
          <w:sz w:val="22"/>
          <w:szCs w:val="22"/>
          <w:lang w:val="en-CA"/>
        </w:rPr>
        <w:fldChar w:fldCharType="begin"/>
      </w:r>
      <w:r w:rsidR="00FF5754">
        <w:rPr>
          <w:sz w:val="22"/>
          <w:szCs w:val="22"/>
          <w:lang w:val="en-CA"/>
        </w:rPr>
        <w:instrText xml:space="preserve"> REF _Ref68106546 \r \h </w:instrText>
      </w:r>
      <w:r w:rsidR="00FF5754">
        <w:rPr>
          <w:sz w:val="22"/>
          <w:szCs w:val="22"/>
          <w:lang w:val="en-CA"/>
        </w:rPr>
      </w:r>
      <w:r w:rsidR="00FF5754">
        <w:rPr>
          <w:sz w:val="22"/>
          <w:szCs w:val="22"/>
          <w:lang w:val="en-CA"/>
        </w:rPr>
        <w:fldChar w:fldCharType="separate"/>
      </w:r>
      <w:r w:rsidR="00FF5754">
        <w:rPr>
          <w:sz w:val="22"/>
          <w:szCs w:val="22"/>
          <w:lang w:val="en-CA"/>
        </w:rPr>
        <w:t>[2]</w:t>
      </w:r>
      <w:r w:rsidR="00FF5754">
        <w:rPr>
          <w:sz w:val="22"/>
          <w:szCs w:val="22"/>
          <w:lang w:val="en-CA"/>
        </w:rPr>
        <w:fldChar w:fldCharType="end"/>
      </w:r>
      <w:r>
        <w:rPr>
          <w:sz w:val="22"/>
          <w:szCs w:val="22"/>
          <w:lang w:val="en-CA"/>
        </w:rPr>
        <w:t>, and confirms that there are certain scenarios where TCI state activation would be needed, but also states that no further RAN1-based enhancements for this issue are intended in Rel-16.</w:t>
      </w:r>
    </w:p>
    <w:p w14:paraId="75D90309" w14:textId="6BA38F38" w:rsidR="00822990" w:rsidRPr="00FF5754" w:rsidRDefault="00BE5271" w:rsidP="00DA3C0F">
      <w:pPr>
        <w:rPr>
          <w:sz w:val="22"/>
          <w:szCs w:val="22"/>
          <w:lang w:val="en-CA"/>
        </w:rPr>
      </w:pPr>
      <w:r>
        <w:rPr>
          <w:sz w:val="22"/>
          <w:szCs w:val="22"/>
          <w:lang w:val="en-CA"/>
        </w:rPr>
        <w:t xml:space="preserve">With RAN1 not planning any enhancements for Direct SCell activation within Rel-16 scope, we propose that RAN4 concludes that </w:t>
      </w:r>
      <w:r w:rsidR="00822990">
        <w:rPr>
          <w:sz w:val="22"/>
          <w:szCs w:val="22"/>
          <w:lang w:val="en-CA"/>
        </w:rPr>
        <w:t xml:space="preserve">in Rel-16, </w:t>
      </w:r>
      <w:r>
        <w:rPr>
          <w:sz w:val="22"/>
          <w:szCs w:val="22"/>
          <w:lang w:val="en-CA"/>
        </w:rPr>
        <w:t xml:space="preserve">requirements for Direct SCell activation in FR1 are applicable to the scenario where a single TCI state is configured in the SCell, with the justification that </w:t>
      </w:r>
      <w:r w:rsidR="00822990">
        <w:rPr>
          <w:sz w:val="22"/>
          <w:szCs w:val="22"/>
          <w:lang w:val="en-CA"/>
        </w:rPr>
        <w:t xml:space="preserve">there is no additional time in the timeline </w:t>
      </w:r>
      <w:r w:rsidR="00FF5754">
        <w:rPr>
          <w:sz w:val="22"/>
          <w:szCs w:val="22"/>
          <w:lang w:val="en-CA"/>
        </w:rPr>
        <w:t xml:space="preserve">alotted </w:t>
      </w:r>
      <w:r w:rsidR="00822990">
        <w:rPr>
          <w:sz w:val="22"/>
          <w:szCs w:val="22"/>
          <w:lang w:val="en-CA"/>
        </w:rPr>
        <w:t>for reception and application of MAC-CE for TCI state activation.</w:t>
      </w:r>
      <w:r w:rsidR="00FF5754">
        <w:rPr>
          <w:sz w:val="22"/>
          <w:szCs w:val="22"/>
          <w:lang w:val="en-CA"/>
        </w:rPr>
        <w:t xml:space="preserve"> For FR2, no such restriction is needed since the activation timelines contains T</w:t>
      </w:r>
      <w:r w:rsidR="00FF5754">
        <w:rPr>
          <w:sz w:val="22"/>
          <w:szCs w:val="22"/>
          <w:vertAlign w:val="subscript"/>
          <w:lang w:val="en-CA"/>
        </w:rPr>
        <w:t>uncertainty_MAC</w:t>
      </w:r>
      <w:r w:rsidR="00FF5754">
        <w:rPr>
          <w:sz w:val="22"/>
          <w:szCs w:val="22"/>
          <w:lang w:val="en-CA"/>
        </w:rPr>
        <w:t xml:space="preserve"> etc for purpose of accounting for additional TCI state activation time if not provided in the same MAC PDU as the MAC-CE for SCell activation.  </w:t>
      </w:r>
    </w:p>
    <w:p w14:paraId="68250448" w14:textId="42D270A1" w:rsidR="00FF5754" w:rsidRPr="00FF5754" w:rsidRDefault="008E0105" w:rsidP="00FF5754">
      <w:pPr>
        <w:spacing w:after="0"/>
        <w:ind w:left="1276" w:hanging="1276"/>
        <w:rPr>
          <w:rFonts w:eastAsia="Times New Roman"/>
          <w:color w:val="1F497D" w:themeColor="text2"/>
          <w:sz w:val="22"/>
          <w:szCs w:val="22"/>
          <w:lang w:eastAsia="ko-KR"/>
        </w:rPr>
      </w:pPr>
      <w:r w:rsidRPr="00FF5754">
        <w:rPr>
          <w:rFonts w:eastAsia="Times New Roman"/>
          <w:b/>
          <w:bCs/>
          <w:color w:val="1F497D" w:themeColor="text2"/>
          <w:sz w:val="22"/>
          <w:szCs w:val="22"/>
          <w:lang w:eastAsia="ko-KR"/>
        </w:rPr>
        <w:t xml:space="preserve">Proposal </w:t>
      </w:r>
      <w:r w:rsidR="001C29EC" w:rsidRPr="00FF5754">
        <w:rPr>
          <w:rFonts w:eastAsia="Times New Roman"/>
          <w:b/>
          <w:bCs/>
          <w:color w:val="1F497D" w:themeColor="text2"/>
          <w:sz w:val="22"/>
          <w:szCs w:val="22"/>
          <w:lang w:eastAsia="ko-KR"/>
        </w:rPr>
        <w:t>1</w:t>
      </w:r>
      <w:r w:rsidRPr="00FF5754">
        <w:rPr>
          <w:rFonts w:eastAsia="Times New Roman"/>
          <w:b/>
          <w:bCs/>
          <w:color w:val="1F497D" w:themeColor="text2"/>
          <w:sz w:val="22"/>
          <w:szCs w:val="22"/>
          <w:lang w:eastAsia="ko-KR"/>
        </w:rPr>
        <w:t>:</w:t>
      </w:r>
      <w:r w:rsidRPr="00FF5754">
        <w:rPr>
          <w:rFonts w:eastAsia="Times New Roman"/>
          <w:color w:val="1F497D" w:themeColor="text2"/>
          <w:sz w:val="22"/>
          <w:szCs w:val="22"/>
          <w:lang w:eastAsia="ko-KR"/>
        </w:rPr>
        <w:t xml:space="preserve"> </w:t>
      </w:r>
      <w:r w:rsidR="00C87722" w:rsidRPr="00FF5754">
        <w:rPr>
          <w:rFonts w:eastAsia="Times New Roman"/>
          <w:color w:val="1F497D" w:themeColor="text2"/>
          <w:sz w:val="22"/>
          <w:szCs w:val="22"/>
          <w:lang w:eastAsia="ko-KR"/>
        </w:rPr>
        <w:tab/>
      </w:r>
      <w:r w:rsidR="001C29EC" w:rsidRPr="00FF5754">
        <w:rPr>
          <w:rFonts w:eastAsia="Times New Roman"/>
          <w:color w:val="1F497D" w:themeColor="text2"/>
          <w:sz w:val="22"/>
          <w:szCs w:val="22"/>
          <w:lang w:eastAsia="ko-KR"/>
        </w:rPr>
        <w:t xml:space="preserve">RAN4 to conclude that in Rel-16, </w:t>
      </w:r>
      <w:r w:rsidR="00FF5754" w:rsidRPr="00FF5754">
        <w:rPr>
          <w:rFonts w:eastAsia="Times New Roman"/>
          <w:color w:val="1F497D" w:themeColor="text2"/>
          <w:sz w:val="22"/>
          <w:szCs w:val="22"/>
          <w:lang w:eastAsia="ko-KR"/>
        </w:rPr>
        <w:t>activation delay requirements for direct</w:t>
      </w:r>
      <w:r w:rsidR="001C29EC" w:rsidRPr="00FF5754">
        <w:rPr>
          <w:rFonts w:eastAsia="Times New Roman"/>
          <w:color w:val="1F497D" w:themeColor="text2"/>
          <w:sz w:val="22"/>
          <w:szCs w:val="22"/>
          <w:lang w:eastAsia="ko-KR"/>
        </w:rPr>
        <w:t xml:space="preserve"> activation </w:t>
      </w:r>
      <w:r w:rsidR="00FF5754" w:rsidRPr="00FF5754">
        <w:rPr>
          <w:rFonts w:eastAsia="Times New Roman"/>
          <w:color w:val="1F497D" w:themeColor="text2"/>
          <w:sz w:val="22"/>
          <w:szCs w:val="22"/>
          <w:lang w:eastAsia="ko-KR"/>
        </w:rPr>
        <w:t>of SCell in FR1 are applicable when the SCell is configured with single TCI state.</w:t>
      </w:r>
    </w:p>
    <w:p w14:paraId="790F566D" w14:textId="5C73967F" w:rsidR="004272AF" w:rsidRPr="00342432" w:rsidRDefault="004272AF" w:rsidP="00FE7518">
      <w:pPr>
        <w:spacing w:after="0"/>
        <w:rPr>
          <w:rFonts w:eastAsia="Times New Roman"/>
          <w:color w:val="1F497D" w:themeColor="text2"/>
          <w:sz w:val="22"/>
          <w:szCs w:val="22"/>
          <w:highlight w:val="yellow"/>
          <w:lang w:eastAsia="ko-KR"/>
        </w:rPr>
      </w:pPr>
    </w:p>
    <w:p w14:paraId="439A4ADE" w14:textId="0E29D7A9" w:rsidR="005E7957" w:rsidRPr="005E7957" w:rsidRDefault="004272AF" w:rsidP="005E7957">
      <w:pPr>
        <w:spacing w:after="0"/>
        <w:rPr>
          <w:rFonts w:eastAsia="Times New Roman"/>
          <w:sz w:val="22"/>
          <w:szCs w:val="22"/>
          <w:lang w:eastAsia="ko-KR"/>
        </w:rPr>
      </w:pPr>
      <w:r w:rsidRPr="00FE7518">
        <w:rPr>
          <w:rFonts w:eastAsia="Times New Roman"/>
          <w:sz w:val="22"/>
          <w:szCs w:val="22"/>
          <w:lang w:eastAsia="ko-KR"/>
        </w:rPr>
        <w:t xml:space="preserve">It shall be noted that </w:t>
      </w:r>
      <w:r w:rsidR="005E7957" w:rsidRPr="00FE7518">
        <w:rPr>
          <w:rFonts w:eastAsia="Times New Roman"/>
          <w:sz w:val="22"/>
          <w:szCs w:val="22"/>
          <w:lang w:eastAsia="ko-KR"/>
        </w:rPr>
        <w:t xml:space="preserve">limitation to a single </w:t>
      </w:r>
      <w:r w:rsidR="005E7957" w:rsidRPr="00FE7518">
        <w:rPr>
          <w:rFonts w:eastAsia="Times New Roman"/>
          <w:i/>
          <w:iCs/>
          <w:sz w:val="22"/>
          <w:szCs w:val="22"/>
          <w:lang w:eastAsia="ko-KR"/>
        </w:rPr>
        <w:t>configured</w:t>
      </w:r>
      <w:r w:rsidR="005E7957" w:rsidRPr="00FE7518">
        <w:rPr>
          <w:rFonts w:eastAsia="Times New Roman"/>
          <w:sz w:val="22"/>
          <w:szCs w:val="22"/>
          <w:lang w:eastAsia="ko-KR"/>
        </w:rPr>
        <w:t xml:space="preserve"> TCI state does not preclude that more TCI states are configured to the UE once the SCell has been activated. It merely requires that the TCI state providing coverage to the UE is known at the time of providing the RRC configuration e.g. for handover with direct SCell activation, or for addition and direct activation of the SCell.</w:t>
      </w:r>
    </w:p>
    <w:p w14:paraId="0F9B4AA3" w14:textId="35DC1093" w:rsidR="001C29EC" w:rsidRDefault="005E7957" w:rsidP="005E7957">
      <w:pPr>
        <w:pStyle w:val="Heading2"/>
        <w:rPr>
          <w:lang w:eastAsia="ko-KR"/>
        </w:rPr>
      </w:pPr>
      <w:r>
        <w:rPr>
          <w:lang w:eastAsia="ko-KR"/>
        </w:rPr>
        <w:t>Measurement rate in delay requirements for Direct SCell activation</w:t>
      </w:r>
    </w:p>
    <w:p w14:paraId="69C2B9D4" w14:textId="55118C93" w:rsidR="005E7957" w:rsidRDefault="005E7957" w:rsidP="005E7957">
      <w:pPr>
        <w:spacing w:after="0"/>
        <w:rPr>
          <w:rFonts w:eastAsia="Times New Roman"/>
          <w:sz w:val="22"/>
          <w:szCs w:val="22"/>
          <w:lang w:eastAsia="ko-KR"/>
        </w:rPr>
      </w:pPr>
      <w:r w:rsidRPr="00941BDF">
        <w:rPr>
          <w:rFonts w:eastAsia="Times New Roman"/>
          <w:sz w:val="22"/>
          <w:szCs w:val="22"/>
          <w:lang w:eastAsia="ko-KR"/>
        </w:rPr>
        <w:t>This issue</w:t>
      </w:r>
      <w:r w:rsidR="00941BDF">
        <w:rPr>
          <w:rFonts w:eastAsia="Times New Roman"/>
          <w:sz w:val="22"/>
          <w:szCs w:val="22"/>
          <w:lang w:eastAsia="ko-KR"/>
        </w:rPr>
        <w:t xml:space="preserve"> concerns that</w:t>
      </w:r>
      <w:r w:rsidRPr="00941BDF">
        <w:rPr>
          <w:rFonts w:eastAsia="Times New Roman"/>
          <w:sz w:val="22"/>
          <w:szCs w:val="22"/>
          <w:lang w:eastAsia="ko-KR"/>
        </w:rPr>
        <w:t xml:space="preserve"> a directly activated SCell has not been measured before as deactivated SCell, and therefore has not been measured according to a measurement cycle that depends on measCycleSCell. The same SCell may however have been measured as a neighbour cell</w:t>
      </w:r>
      <w:r w:rsidR="002D4BEF" w:rsidRPr="00941BDF">
        <w:rPr>
          <w:rFonts w:eastAsia="Times New Roman"/>
          <w:sz w:val="22"/>
          <w:szCs w:val="22"/>
          <w:lang w:eastAsia="ko-KR"/>
        </w:rPr>
        <w:t xml:space="preserve"> before b</w:t>
      </w:r>
      <w:r w:rsidR="00941BDF">
        <w:rPr>
          <w:rFonts w:eastAsia="Times New Roman"/>
          <w:sz w:val="22"/>
          <w:szCs w:val="22"/>
          <w:lang w:eastAsia="ko-KR"/>
        </w:rPr>
        <w:t>e</w:t>
      </w:r>
      <w:r w:rsidR="002D4BEF" w:rsidRPr="00941BDF">
        <w:rPr>
          <w:rFonts w:eastAsia="Times New Roman"/>
          <w:sz w:val="22"/>
          <w:szCs w:val="22"/>
          <w:lang w:eastAsia="ko-KR"/>
        </w:rPr>
        <w:t>i</w:t>
      </w:r>
      <w:r w:rsidR="00941BDF">
        <w:rPr>
          <w:rFonts w:eastAsia="Times New Roman"/>
          <w:sz w:val="22"/>
          <w:szCs w:val="22"/>
          <w:lang w:eastAsia="ko-KR"/>
        </w:rPr>
        <w:t>n</w:t>
      </w:r>
      <w:r w:rsidR="002D4BEF" w:rsidRPr="00941BDF">
        <w:rPr>
          <w:rFonts w:eastAsia="Times New Roman"/>
          <w:sz w:val="22"/>
          <w:szCs w:val="22"/>
          <w:lang w:eastAsia="ko-KR"/>
        </w:rPr>
        <w:t>g directly activated</w:t>
      </w:r>
      <w:r w:rsidRPr="00941BDF">
        <w:rPr>
          <w:rFonts w:eastAsia="Times New Roman"/>
          <w:sz w:val="22"/>
          <w:szCs w:val="22"/>
          <w:lang w:eastAsia="ko-KR"/>
        </w:rPr>
        <w:t>. However, existing</w:t>
      </w:r>
      <w:r>
        <w:rPr>
          <w:rFonts w:eastAsia="Times New Roman"/>
          <w:sz w:val="22"/>
          <w:szCs w:val="22"/>
          <w:lang w:eastAsia="ko-KR"/>
        </w:rPr>
        <w:t xml:space="preserve"> delay requirements for Direct SCell activation</w:t>
      </w:r>
      <w:r w:rsidR="002D4BEF">
        <w:rPr>
          <w:rFonts w:eastAsia="Times New Roman"/>
          <w:sz w:val="22"/>
          <w:szCs w:val="22"/>
          <w:lang w:eastAsia="ko-KR"/>
        </w:rPr>
        <w:t xml:space="preserve"> are </w:t>
      </w:r>
      <w:r w:rsidR="00941BDF">
        <w:rPr>
          <w:rFonts w:eastAsia="Times New Roman"/>
          <w:sz w:val="22"/>
          <w:szCs w:val="22"/>
          <w:lang w:eastAsia="ko-KR"/>
        </w:rPr>
        <w:t>currently</w:t>
      </w:r>
      <w:r w:rsidR="002D4BEF">
        <w:rPr>
          <w:rFonts w:eastAsia="Times New Roman"/>
          <w:sz w:val="22"/>
          <w:szCs w:val="22"/>
          <w:lang w:eastAsia="ko-KR"/>
        </w:rPr>
        <w:t xml:space="preserve"> depending on measCycleSCell.</w:t>
      </w:r>
    </w:p>
    <w:p w14:paraId="16D586FC" w14:textId="0705B0E4" w:rsidR="00484748" w:rsidRDefault="00C03198" w:rsidP="005E7957">
      <w:pPr>
        <w:spacing w:after="0"/>
        <w:rPr>
          <w:rFonts w:eastAsia="Times New Roman"/>
          <w:sz w:val="22"/>
          <w:szCs w:val="22"/>
          <w:lang w:eastAsia="ko-KR"/>
        </w:rPr>
      </w:pPr>
      <w:r>
        <w:rPr>
          <w:rFonts w:eastAsia="Times New Roman"/>
          <w:sz w:val="22"/>
          <w:szCs w:val="22"/>
          <w:lang w:eastAsia="ko-KR"/>
        </w:rPr>
        <w:lastRenderedPageBreak/>
        <w:t xml:space="preserve">At RAN4#98e, a few different options were discussed and captured in a Way Forward document </w:t>
      </w:r>
      <w:r>
        <w:rPr>
          <w:rFonts w:eastAsia="Times New Roman"/>
          <w:sz w:val="22"/>
          <w:szCs w:val="22"/>
          <w:lang w:eastAsia="ko-KR"/>
        </w:rPr>
        <w:fldChar w:fldCharType="begin"/>
      </w:r>
      <w:r>
        <w:rPr>
          <w:rFonts w:eastAsia="Times New Roman"/>
          <w:sz w:val="22"/>
          <w:szCs w:val="22"/>
          <w:lang w:eastAsia="ko-KR"/>
        </w:rPr>
        <w:instrText xml:space="preserve"> REF _Ref61004649 \r \h </w:instrText>
      </w:r>
      <w:r>
        <w:rPr>
          <w:rFonts w:eastAsia="Times New Roman"/>
          <w:sz w:val="22"/>
          <w:szCs w:val="22"/>
          <w:lang w:eastAsia="ko-KR"/>
        </w:rPr>
      </w:r>
      <w:r>
        <w:rPr>
          <w:rFonts w:eastAsia="Times New Roman"/>
          <w:sz w:val="22"/>
          <w:szCs w:val="22"/>
          <w:lang w:eastAsia="ko-KR"/>
        </w:rPr>
        <w:fldChar w:fldCharType="separate"/>
      </w:r>
      <w:r>
        <w:rPr>
          <w:rFonts w:eastAsia="Times New Roman"/>
          <w:sz w:val="22"/>
          <w:szCs w:val="22"/>
          <w:lang w:eastAsia="ko-KR"/>
        </w:rPr>
        <w:t>[1]</w:t>
      </w:r>
      <w:r>
        <w:rPr>
          <w:rFonts w:eastAsia="Times New Roman"/>
          <w:sz w:val="22"/>
          <w:szCs w:val="22"/>
          <w:lang w:eastAsia="ko-KR"/>
        </w:rPr>
        <w:fldChar w:fldCharType="end"/>
      </w:r>
      <w:r>
        <w:rPr>
          <w:rFonts w:eastAsia="Times New Roman"/>
          <w:sz w:val="22"/>
          <w:szCs w:val="22"/>
          <w:lang w:eastAsia="ko-KR"/>
        </w:rPr>
        <w:t>.</w:t>
      </w:r>
    </w:p>
    <w:p w14:paraId="4AF557D7" w14:textId="4137B7E2" w:rsidR="002D4BEF" w:rsidRDefault="002D4BEF" w:rsidP="005E7957">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29"/>
      </w:tblGrid>
      <w:tr w:rsidR="002D4BEF" w14:paraId="5458B224" w14:textId="77777777" w:rsidTr="002D4BEF">
        <w:tc>
          <w:tcPr>
            <w:tcW w:w="9629" w:type="dxa"/>
          </w:tcPr>
          <w:p w14:paraId="6F95FF4A" w14:textId="77777777" w:rsidR="002D4BEF" w:rsidRPr="002D4BEF" w:rsidRDefault="002D4BEF" w:rsidP="002D4BEF">
            <w:pPr>
              <w:numPr>
                <w:ilvl w:val="0"/>
                <w:numId w:val="45"/>
              </w:numPr>
              <w:spacing w:after="0"/>
              <w:rPr>
                <w:rFonts w:eastAsia="Times New Roman"/>
                <w:sz w:val="22"/>
                <w:szCs w:val="22"/>
                <w:lang w:val="en-US" w:eastAsia="ko-KR"/>
              </w:rPr>
            </w:pPr>
            <w:r w:rsidRPr="002D4BEF">
              <w:rPr>
                <w:rFonts w:eastAsia="Times New Roman"/>
                <w:sz w:val="22"/>
                <w:szCs w:val="22"/>
                <w:lang w:val="en-US" w:eastAsia="ko-KR"/>
              </w:rPr>
              <w:t>Candidate options to move forward:</w:t>
            </w:r>
          </w:p>
          <w:p w14:paraId="686FBF41" w14:textId="52257FDD" w:rsidR="002D4BEF" w:rsidRPr="002D4BEF" w:rsidRDefault="002D4BEF" w:rsidP="002D4BEF">
            <w:pPr>
              <w:numPr>
                <w:ilvl w:val="1"/>
                <w:numId w:val="45"/>
              </w:numPr>
              <w:spacing w:after="0"/>
              <w:rPr>
                <w:rFonts w:eastAsia="Times New Roman"/>
                <w:sz w:val="22"/>
                <w:szCs w:val="22"/>
                <w:lang w:val="en-US" w:eastAsia="ko-KR"/>
              </w:rPr>
            </w:pPr>
            <w:r w:rsidRPr="002D4BEF">
              <w:rPr>
                <w:rFonts w:eastAsia="Times New Roman"/>
                <w:sz w:val="22"/>
                <w:szCs w:val="22"/>
                <w:lang w:eastAsia="ko-KR"/>
              </w:rPr>
              <w:t>Option 1: Replace condition on measCycleSCell with T</w:t>
            </w:r>
            <w:r w:rsidRPr="002D4BEF">
              <w:rPr>
                <w:rFonts w:eastAsia="Times New Roman"/>
                <w:sz w:val="22"/>
                <w:szCs w:val="22"/>
                <w:vertAlign w:val="subscript"/>
                <w:lang w:eastAsia="ko-KR"/>
              </w:rPr>
              <w:t>sample_interval</w:t>
            </w:r>
            <w:r w:rsidRPr="002D4BEF">
              <w:rPr>
                <w:rFonts w:eastAsia="Times New Roman"/>
                <w:sz w:val="22"/>
                <w:szCs w:val="22"/>
                <w:lang w:eastAsia="ko-KR"/>
              </w:rPr>
              <w:t xml:space="preserve"> defined as follows:</w:t>
            </w:r>
          </w:p>
          <w:p w14:paraId="220906BE" w14:textId="77777777" w:rsidR="002D4BEF" w:rsidRPr="002D4BEF" w:rsidRDefault="002D4BEF" w:rsidP="002D4BEF">
            <w:pPr>
              <w:numPr>
                <w:ilvl w:val="2"/>
                <w:numId w:val="45"/>
              </w:numPr>
              <w:spacing w:after="0"/>
              <w:rPr>
                <w:rFonts w:eastAsia="Times New Roman"/>
                <w:sz w:val="22"/>
                <w:szCs w:val="22"/>
                <w:lang w:val="en-US" w:eastAsia="ko-KR"/>
              </w:rPr>
            </w:pPr>
            <w:r w:rsidRPr="002D4BEF">
              <w:rPr>
                <w:rFonts w:eastAsia="Times New Roman"/>
                <w:sz w:val="22"/>
                <w:szCs w:val="22"/>
                <w:lang w:eastAsia="ko-KR"/>
              </w:rPr>
              <w:t>If no DRX is configured or DRX cycle&gt;320ms, T</w:t>
            </w:r>
            <w:r w:rsidRPr="002D4BEF">
              <w:rPr>
                <w:rFonts w:eastAsia="Times New Roman"/>
                <w:sz w:val="22"/>
                <w:szCs w:val="22"/>
                <w:vertAlign w:val="subscript"/>
                <w:lang w:eastAsia="ko-KR"/>
              </w:rPr>
              <w:t>sample_interval</w:t>
            </w:r>
            <w:r w:rsidRPr="002D4BEF">
              <w:rPr>
                <w:rFonts w:eastAsia="Times New Roman"/>
                <w:sz w:val="22"/>
                <w:szCs w:val="22"/>
                <w:lang w:eastAsia="ko-KR"/>
              </w:rPr>
              <w:t xml:space="preserve"> = Max(MGRP, SMTC period, DRX cycle) </w:t>
            </w:r>
            <w:r w:rsidRPr="002D4BEF">
              <w:rPr>
                <w:rFonts w:eastAsia="Times New Roman"/>
                <w:sz w:val="22"/>
                <w:szCs w:val="22"/>
                <w:lang w:eastAsia="ko-KR"/>
              </w:rPr>
              <w:sym w:font="Symbol" w:char="F0B4"/>
            </w:r>
            <w:r w:rsidRPr="002D4BEF">
              <w:rPr>
                <w:rFonts w:eastAsia="Times New Roman"/>
                <w:sz w:val="22"/>
                <w:szCs w:val="22"/>
                <w:lang w:eastAsia="ko-KR"/>
              </w:rPr>
              <w:t xml:space="preserve"> CSSF</w:t>
            </w:r>
            <w:r w:rsidRPr="002D4BEF">
              <w:rPr>
                <w:rFonts w:eastAsia="Times New Roman"/>
                <w:sz w:val="22"/>
                <w:szCs w:val="22"/>
                <w:vertAlign w:val="subscript"/>
                <w:lang w:eastAsia="ko-KR"/>
              </w:rPr>
              <w:t>inter</w:t>
            </w:r>
          </w:p>
          <w:p w14:paraId="4F54709A" w14:textId="77777777" w:rsidR="002D4BEF" w:rsidRPr="002D4BEF" w:rsidRDefault="002D4BEF" w:rsidP="002D4BEF">
            <w:pPr>
              <w:numPr>
                <w:ilvl w:val="2"/>
                <w:numId w:val="45"/>
              </w:numPr>
              <w:spacing w:after="0"/>
              <w:rPr>
                <w:rFonts w:eastAsia="Times New Roman"/>
                <w:sz w:val="22"/>
                <w:szCs w:val="22"/>
                <w:lang w:val="en-US" w:eastAsia="ko-KR"/>
              </w:rPr>
            </w:pPr>
            <w:r w:rsidRPr="002D4BEF">
              <w:rPr>
                <w:rFonts w:eastAsia="Times New Roman"/>
                <w:sz w:val="22"/>
                <w:szCs w:val="22"/>
                <w:lang w:eastAsia="ko-KR"/>
              </w:rPr>
              <w:t>Otherwise, T</w:t>
            </w:r>
            <w:r w:rsidRPr="002D4BEF">
              <w:rPr>
                <w:rFonts w:eastAsia="Times New Roman"/>
                <w:sz w:val="22"/>
                <w:szCs w:val="22"/>
                <w:vertAlign w:val="subscript"/>
                <w:lang w:eastAsia="ko-KR"/>
              </w:rPr>
              <w:t>sample_interval</w:t>
            </w:r>
            <w:r w:rsidRPr="002D4BEF">
              <w:rPr>
                <w:rFonts w:eastAsia="Times New Roman"/>
                <w:sz w:val="22"/>
                <w:szCs w:val="22"/>
                <w:lang w:eastAsia="ko-KR"/>
              </w:rPr>
              <w:t xml:space="preserve"> = 1.5 </w:t>
            </w:r>
            <w:r w:rsidRPr="002D4BEF">
              <w:rPr>
                <w:rFonts w:eastAsia="Times New Roman"/>
                <w:sz w:val="22"/>
                <w:szCs w:val="22"/>
                <w:lang w:eastAsia="ko-KR"/>
              </w:rPr>
              <w:sym w:font="Symbol" w:char="F0B4"/>
            </w:r>
            <w:r w:rsidRPr="002D4BEF">
              <w:rPr>
                <w:rFonts w:eastAsia="Times New Roman"/>
                <w:sz w:val="22"/>
                <w:szCs w:val="22"/>
                <w:lang w:eastAsia="ko-KR"/>
              </w:rPr>
              <w:t xml:space="preserve"> Max(MGRP, SMTC period, DRX cycle) </w:t>
            </w:r>
            <w:r w:rsidRPr="002D4BEF">
              <w:rPr>
                <w:rFonts w:eastAsia="Times New Roman"/>
                <w:sz w:val="22"/>
                <w:szCs w:val="22"/>
                <w:lang w:eastAsia="ko-KR"/>
              </w:rPr>
              <w:sym w:font="Symbol" w:char="F0B4"/>
            </w:r>
            <w:r w:rsidRPr="002D4BEF">
              <w:rPr>
                <w:rFonts w:eastAsia="Times New Roman"/>
                <w:sz w:val="22"/>
                <w:szCs w:val="22"/>
                <w:lang w:eastAsia="ko-KR"/>
              </w:rPr>
              <w:t xml:space="preserve"> CSSF</w:t>
            </w:r>
            <w:r w:rsidRPr="002D4BEF">
              <w:rPr>
                <w:rFonts w:eastAsia="Times New Roman"/>
                <w:sz w:val="22"/>
                <w:szCs w:val="22"/>
                <w:vertAlign w:val="subscript"/>
                <w:lang w:eastAsia="ko-KR"/>
              </w:rPr>
              <w:t>inter</w:t>
            </w:r>
          </w:p>
          <w:p w14:paraId="7570AC05" w14:textId="06C3C864" w:rsidR="002D4BEF" w:rsidRPr="002D4BEF" w:rsidRDefault="002D4BEF" w:rsidP="002D4BEF">
            <w:pPr>
              <w:numPr>
                <w:ilvl w:val="1"/>
                <w:numId w:val="45"/>
              </w:numPr>
              <w:spacing w:after="0"/>
              <w:rPr>
                <w:rFonts w:eastAsia="Times New Roman"/>
                <w:sz w:val="22"/>
                <w:szCs w:val="22"/>
                <w:lang w:val="en-US" w:eastAsia="ko-KR"/>
              </w:rPr>
            </w:pPr>
            <w:r w:rsidRPr="002D4BEF">
              <w:rPr>
                <w:rFonts w:eastAsia="Times New Roman"/>
                <w:sz w:val="22"/>
                <w:szCs w:val="22"/>
                <w:lang w:eastAsia="ko-KR"/>
              </w:rPr>
              <w:t>Option 2: Replace condition on measCycleSCell with T</w:t>
            </w:r>
            <w:r w:rsidRPr="002D4BEF">
              <w:rPr>
                <w:rFonts w:eastAsia="Times New Roman"/>
                <w:sz w:val="22"/>
                <w:szCs w:val="22"/>
                <w:vertAlign w:val="subscript"/>
                <w:lang w:eastAsia="ko-KR"/>
              </w:rPr>
              <w:t>sample_interval</w:t>
            </w:r>
            <w:r w:rsidRPr="002D4BEF">
              <w:rPr>
                <w:rFonts w:eastAsia="Times New Roman"/>
                <w:sz w:val="22"/>
                <w:szCs w:val="22"/>
                <w:lang w:eastAsia="ko-KR"/>
              </w:rPr>
              <w:t xml:space="preserve"> defined as follows:</w:t>
            </w:r>
          </w:p>
          <w:p w14:paraId="7E84211E" w14:textId="77777777" w:rsidR="002D4BEF" w:rsidRPr="002D4BEF" w:rsidRDefault="002D4BEF" w:rsidP="002D4BEF">
            <w:pPr>
              <w:numPr>
                <w:ilvl w:val="2"/>
                <w:numId w:val="45"/>
              </w:numPr>
              <w:spacing w:after="0"/>
              <w:rPr>
                <w:rFonts w:eastAsia="Times New Roman"/>
                <w:sz w:val="22"/>
                <w:szCs w:val="22"/>
                <w:lang w:val="en-US" w:eastAsia="ko-KR"/>
              </w:rPr>
            </w:pPr>
            <w:r w:rsidRPr="002D4BEF">
              <w:rPr>
                <w:rFonts w:eastAsia="Times New Roman"/>
                <w:sz w:val="22"/>
                <w:szCs w:val="22"/>
                <w:lang w:eastAsia="ko-KR"/>
              </w:rPr>
              <w:t>If no DRX is configured or DRX cycle&gt;320ms, T</w:t>
            </w:r>
            <w:r w:rsidRPr="002D4BEF">
              <w:rPr>
                <w:rFonts w:eastAsia="Times New Roman"/>
                <w:sz w:val="22"/>
                <w:szCs w:val="22"/>
                <w:vertAlign w:val="subscript"/>
                <w:lang w:eastAsia="ko-KR"/>
              </w:rPr>
              <w:t>sample_interval</w:t>
            </w:r>
            <w:r w:rsidRPr="002D4BEF">
              <w:rPr>
                <w:rFonts w:eastAsia="Times New Roman"/>
                <w:sz w:val="22"/>
                <w:szCs w:val="22"/>
                <w:lang w:eastAsia="ko-KR"/>
              </w:rPr>
              <w:t xml:space="preserve"> = Max(MGRP, SMTC period, DRX cycle) </w:t>
            </w:r>
          </w:p>
          <w:p w14:paraId="2DF76BEB" w14:textId="77777777" w:rsidR="002D4BEF" w:rsidRPr="002D4BEF" w:rsidRDefault="002D4BEF" w:rsidP="002D4BEF">
            <w:pPr>
              <w:numPr>
                <w:ilvl w:val="2"/>
                <w:numId w:val="45"/>
              </w:numPr>
              <w:spacing w:after="0"/>
              <w:rPr>
                <w:rFonts w:eastAsia="Times New Roman"/>
                <w:sz w:val="22"/>
                <w:szCs w:val="22"/>
                <w:lang w:val="en-US" w:eastAsia="ko-KR"/>
              </w:rPr>
            </w:pPr>
            <w:r w:rsidRPr="002D4BEF">
              <w:rPr>
                <w:rFonts w:eastAsia="Times New Roman"/>
                <w:sz w:val="22"/>
                <w:szCs w:val="22"/>
                <w:lang w:eastAsia="ko-KR"/>
              </w:rPr>
              <w:t>Otherwise, T</w:t>
            </w:r>
            <w:r w:rsidRPr="002D4BEF">
              <w:rPr>
                <w:rFonts w:eastAsia="Times New Roman"/>
                <w:sz w:val="22"/>
                <w:szCs w:val="22"/>
                <w:vertAlign w:val="subscript"/>
                <w:lang w:eastAsia="ko-KR"/>
              </w:rPr>
              <w:t>sample_interval</w:t>
            </w:r>
            <w:r w:rsidRPr="002D4BEF">
              <w:rPr>
                <w:rFonts w:eastAsia="Times New Roman"/>
                <w:sz w:val="22"/>
                <w:szCs w:val="22"/>
                <w:lang w:eastAsia="ko-KR"/>
              </w:rPr>
              <w:t xml:space="preserve"> = 1.5 </w:t>
            </w:r>
            <w:r w:rsidRPr="002D4BEF">
              <w:rPr>
                <w:rFonts w:eastAsia="Times New Roman"/>
                <w:sz w:val="22"/>
                <w:szCs w:val="22"/>
                <w:lang w:eastAsia="ko-KR"/>
              </w:rPr>
              <w:sym w:font="Symbol" w:char="F0B4"/>
            </w:r>
            <w:r w:rsidRPr="002D4BEF">
              <w:rPr>
                <w:rFonts w:eastAsia="Times New Roman"/>
                <w:sz w:val="22"/>
                <w:szCs w:val="22"/>
                <w:lang w:eastAsia="ko-KR"/>
              </w:rPr>
              <w:t xml:space="preserve"> Max(MGRP, SMTC period, DRX cycle) </w:t>
            </w:r>
          </w:p>
          <w:p w14:paraId="07F3DF21" w14:textId="6B8577BB" w:rsidR="002D4BEF" w:rsidRPr="002D4BEF" w:rsidRDefault="002D4BEF" w:rsidP="002D4BEF">
            <w:pPr>
              <w:numPr>
                <w:ilvl w:val="1"/>
                <w:numId w:val="45"/>
              </w:numPr>
              <w:spacing w:after="0"/>
              <w:rPr>
                <w:rFonts w:eastAsia="Times New Roman"/>
                <w:sz w:val="22"/>
                <w:szCs w:val="22"/>
                <w:lang w:val="en-US" w:eastAsia="ko-KR"/>
              </w:rPr>
            </w:pPr>
            <w:r w:rsidRPr="002D4BEF">
              <w:rPr>
                <w:rFonts w:eastAsia="Times New Roman"/>
                <w:sz w:val="22"/>
                <w:szCs w:val="22"/>
                <w:lang w:eastAsia="ko-KR"/>
              </w:rPr>
              <w:t xml:space="preserve">Option </w:t>
            </w:r>
            <w:r>
              <w:rPr>
                <w:rFonts w:eastAsia="Times New Roman"/>
                <w:sz w:val="22"/>
                <w:szCs w:val="22"/>
                <w:lang w:eastAsia="ko-KR"/>
              </w:rPr>
              <w:t>3:</w:t>
            </w:r>
            <w:r w:rsidRPr="002D4BEF">
              <w:rPr>
                <w:rFonts w:eastAsia="Times New Roman"/>
                <w:sz w:val="22"/>
                <w:szCs w:val="22"/>
                <w:lang w:eastAsia="ko-KR"/>
              </w:rPr>
              <w:t xml:space="preserve"> Replace condition on measCycleSCell, but discuss further on with what to replace it.</w:t>
            </w:r>
          </w:p>
          <w:p w14:paraId="31C3B6C7" w14:textId="5851221B" w:rsidR="002D4BEF" w:rsidRPr="002D4BEF" w:rsidRDefault="002D4BEF" w:rsidP="002D4BEF">
            <w:pPr>
              <w:numPr>
                <w:ilvl w:val="1"/>
                <w:numId w:val="45"/>
              </w:numPr>
              <w:spacing w:after="0"/>
              <w:rPr>
                <w:rFonts w:eastAsia="Times New Roman"/>
                <w:sz w:val="22"/>
                <w:szCs w:val="22"/>
                <w:lang w:val="en-US" w:eastAsia="ko-KR"/>
              </w:rPr>
            </w:pPr>
            <w:r w:rsidRPr="002D4BEF">
              <w:rPr>
                <w:rFonts w:eastAsia="Times New Roman"/>
                <w:sz w:val="22"/>
                <w:szCs w:val="22"/>
                <w:lang w:eastAsia="ko-KR"/>
              </w:rPr>
              <w:t xml:space="preserve">Option 4: </w:t>
            </w:r>
          </w:p>
          <w:p w14:paraId="3C47B634" w14:textId="77777777" w:rsidR="002D4BEF" w:rsidRPr="002D4BEF" w:rsidRDefault="002D4BEF" w:rsidP="002D4BEF">
            <w:pPr>
              <w:numPr>
                <w:ilvl w:val="2"/>
                <w:numId w:val="45"/>
              </w:numPr>
              <w:spacing w:after="0"/>
              <w:rPr>
                <w:rFonts w:eastAsia="Times New Roman"/>
                <w:sz w:val="22"/>
                <w:szCs w:val="22"/>
                <w:lang w:val="en-US" w:eastAsia="ko-KR"/>
              </w:rPr>
            </w:pPr>
            <w:r w:rsidRPr="002D4BEF">
              <w:rPr>
                <w:rFonts w:eastAsia="Times New Roman"/>
                <w:sz w:val="22"/>
                <w:szCs w:val="22"/>
                <w:lang w:val="en-US" w:eastAsia="ko-KR"/>
              </w:rPr>
              <w:t>T</w:t>
            </w:r>
            <w:r w:rsidRPr="002D4BEF">
              <w:rPr>
                <w:rFonts w:eastAsia="Times New Roman"/>
                <w:sz w:val="22"/>
                <w:szCs w:val="22"/>
                <w:vertAlign w:val="subscript"/>
                <w:lang w:val="en-US" w:eastAsia="ko-KR"/>
              </w:rPr>
              <w:t>FirstSSB</w:t>
            </w:r>
            <w:r w:rsidRPr="002D4BEF">
              <w:rPr>
                <w:rFonts w:eastAsia="Times New Roman"/>
                <w:sz w:val="22"/>
                <w:szCs w:val="22"/>
                <w:lang w:val="en-US" w:eastAsia="ko-KR"/>
              </w:rPr>
              <w:t>+ 5ms, if the SCell has been measured within measurement gap before activation and T</w:t>
            </w:r>
            <w:r w:rsidRPr="002D4BEF">
              <w:rPr>
                <w:rFonts w:eastAsia="Times New Roman"/>
                <w:sz w:val="22"/>
                <w:szCs w:val="22"/>
                <w:vertAlign w:val="subscript"/>
                <w:lang w:val="en-US" w:eastAsia="ko-KR"/>
              </w:rPr>
              <w:t>SSB_measurement_period_inter</w:t>
            </w:r>
            <w:r w:rsidRPr="002D4BEF">
              <w:rPr>
                <w:rFonts w:eastAsia="Times New Roman"/>
                <w:sz w:val="22"/>
                <w:szCs w:val="22"/>
                <w:lang w:val="en-US" w:eastAsia="ko-KR"/>
              </w:rPr>
              <w:t xml:space="preserve">, as specified in Table 9.3.5-1, is equal to or smaller than 1280ms; or if the SCell has been measured without measurement gap before activation and T </w:t>
            </w:r>
            <w:r w:rsidRPr="002D4BEF">
              <w:rPr>
                <w:rFonts w:eastAsia="Times New Roman"/>
                <w:sz w:val="22"/>
                <w:szCs w:val="22"/>
                <w:vertAlign w:val="subscript"/>
                <w:lang w:val="en-US" w:eastAsia="ko-KR"/>
              </w:rPr>
              <w:t>SSB_measurement_period_intra</w:t>
            </w:r>
            <w:r w:rsidRPr="002D4BEF">
              <w:rPr>
                <w:rFonts w:eastAsia="Times New Roman"/>
                <w:sz w:val="22"/>
                <w:szCs w:val="22"/>
                <w:lang w:val="en-US" w:eastAsia="ko-KR"/>
              </w:rPr>
              <w:t>, as specified in Table 9.3.9-1, is equal to or smaller than 800ms.</w:t>
            </w:r>
          </w:p>
          <w:p w14:paraId="605C69EE" w14:textId="649FBF25" w:rsidR="002D4BEF" w:rsidRPr="002D4BEF" w:rsidRDefault="002D4BEF" w:rsidP="003843B4">
            <w:pPr>
              <w:numPr>
                <w:ilvl w:val="2"/>
                <w:numId w:val="45"/>
              </w:numPr>
              <w:spacing w:after="0"/>
              <w:rPr>
                <w:rFonts w:eastAsia="Times New Roman"/>
                <w:sz w:val="22"/>
                <w:szCs w:val="22"/>
                <w:lang w:val="en-US" w:eastAsia="ko-KR"/>
              </w:rPr>
            </w:pPr>
            <w:r w:rsidRPr="002D4BEF">
              <w:rPr>
                <w:rFonts w:eastAsia="Times New Roman"/>
                <w:sz w:val="22"/>
                <w:szCs w:val="22"/>
                <w:lang w:val="en-US" w:eastAsia="ko-KR"/>
              </w:rPr>
              <w:t>T</w:t>
            </w:r>
            <w:r w:rsidRPr="002D4BEF">
              <w:rPr>
                <w:rFonts w:eastAsia="Times New Roman"/>
                <w:sz w:val="22"/>
                <w:szCs w:val="22"/>
                <w:vertAlign w:val="subscript"/>
                <w:lang w:val="en-US" w:eastAsia="ko-KR"/>
              </w:rPr>
              <w:t>FirstSSB_MAX</w:t>
            </w:r>
            <w:r w:rsidRPr="002D4BEF">
              <w:rPr>
                <w:rFonts w:eastAsia="Times New Roman"/>
                <w:sz w:val="22"/>
                <w:szCs w:val="22"/>
                <w:lang w:val="en-US" w:eastAsia="ko-KR"/>
              </w:rPr>
              <w:t xml:space="preserve"> + Trs + 5ms, if the SCell has been measured within measurement gap before activation and T</w:t>
            </w:r>
            <w:r w:rsidRPr="002D4BEF">
              <w:rPr>
                <w:rFonts w:eastAsia="Times New Roman"/>
                <w:sz w:val="22"/>
                <w:szCs w:val="22"/>
                <w:vertAlign w:val="subscript"/>
                <w:lang w:val="en-US" w:eastAsia="ko-KR"/>
              </w:rPr>
              <w:t>SSB_measurement_period_inter</w:t>
            </w:r>
            <w:r w:rsidRPr="002D4BEF">
              <w:rPr>
                <w:rFonts w:eastAsia="Times New Roman"/>
                <w:sz w:val="22"/>
                <w:szCs w:val="22"/>
                <w:lang w:val="en-US" w:eastAsia="ko-KR"/>
              </w:rPr>
              <w:t xml:space="preserve">, as specified in Table 9.3.5-1, is larger than 1280ms; or if the SCell has been measured without measurement gap before activation and T </w:t>
            </w:r>
            <w:r w:rsidRPr="002D4BEF">
              <w:rPr>
                <w:rFonts w:eastAsia="Times New Roman"/>
                <w:sz w:val="22"/>
                <w:szCs w:val="22"/>
                <w:vertAlign w:val="subscript"/>
                <w:lang w:val="en-US" w:eastAsia="ko-KR"/>
              </w:rPr>
              <w:t>SSB_measurement_period_intra</w:t>
            </w:r>
            <w:r w:rsidRPr="002D4BEF">
              <w:rPr>
                <w:rFonts w:eastAsia="Times New Roman"/>
                <w:sz w:val="22"/>
                <w:szCs w:val="22"/>
                <w:lang w:val="en-US" w:eastAsia="ko-KR"/>
              </w:rPr>
              <w:t>, as specified in Table 9.3.9-1, is larger than 800ms.</w:t>
            </w:r>
          </w:p>
        </w:tc>
      </w:tr>
    </w:tbl>
    <w:p w14:paraId="604FCBAB" w14:textId="5AB32524" w:rsidR="005E7957" w:rsidRDefault="005E7957" w:rsidP="005E7957">
      <w:pPr>
        <w:spacing w:after="0"/>
        <w:rPr>
          <w:rFonts w:eastAsia="Times New Roman"/>
          <w:i/>
          <w:sz w:val="22"/>
          <w:szCs w:val="22"/>
          <w:lang w:eastAsia="ko-KR"/>
        </w:rPr>
      </w:pPr>
    </w:p>
    <w:p w14:paraId="574898F0" w14:textId="2A87DB27" w:rsidR="003843B4" w:rsidRPr="003843B4" w:rsidRDefault="00C03198" w:rsidP="003843B4">
      <w:pPr>
        <w:spacing w:after="120"/>
        <w:rPr>
          <w:rFonts w:eastAsia="Times New Roman"/>
          <w:sz w:val="22"/>
          <w:szCs w:val="22"/>
          <w:lang w:val="en-US" w:eastAsia="ko-KR"/>
        </w:rPr>
      </w:pPr>
      <w:r>
        <w:rPr>
          <w:rFonts w:eastAsia="Times New Roman"/>
          <w:iCs/>
          <w:sz w:val="22"/>
          <w:szCs w:val="22"/>
          <w:lang w:eastAsia="ko-KR"/>
        </w:rPr>
        <w:t xml:space="preserve">In our view it is fine with either a measurement rate or a time since </w:t>
      </w:r>
      <w:r w:rsidRPr="00941BDF">
        <w:rPr>
          <w:rFonts w:eastAsia="Times New Roman"/>
          <w:iCs/>
          <w:sz w:val="22"/>
          <w:szCs w:val="22"/>
          <w:lang w:eastAsia="ko-KR"/>
        </w:rPr>
        <w:t>last measurement.</w:t>
      </w:r>
      <w:r w:rsidR="00886067">
        <w:rPr>
          <w:rFonts w:eastAsia="Times New Roman"/>
          <w:iCs/>
          <w:sz w:val="22"/>
          <w:szCs w:val="22"/>
          <w:lang w:eastAsia="ko-KR"/>
        </w:rPr>
        <w:t xml:space="preserve"> For simplicity, we</w:t>
      </w:r>
      <w:r w:rsidR="003843B4">
        <w:rPr>
          <w:rFonts w:eastAsia="Times New Roman"/>
          <w:iCs/>
          <w:sz w:val="22"/>
          <w:szCs w:val="22"/>
          <w:lang w:eastAsia="ko-KR"/>
        </w:rPr>
        <w:t xml:space="preserve"> do however have a preferrence for a single value to apply, e.g. if previously reported within last 1280ms, </w:t>
      </w:r>
      <w:r w:rsidR="006A0109">
        <w:rPr>
          <w:rFonts w:eastAsia="Times New Roman"/>
          <w:iCs/>
          <w:sz w:val="22"/>
          <w:szCs w:val="22"/>
          <w:lang w:eastAsia="ko-KR"/>
        </w:rPr>
        <w:t xml:space="preserve">or alternatively, that the measurement period is at most 1280ms, </w:t>
      </w:r>
      <w:r w:rsidR="003843B4">
        <w:rPr>
          <w:rFonts w:eastAsia="Times New Roman"/>
          <w:iCs/>
          <w:sz w:val="22"/>
          <w:szCs w:val="22"/>
          <w:lang w:eastAsia="ko-KR"/>
        </w:rPr>
        <w:t xml:space="preserve">then </w:t>
      </w:r>
      <w:r w:rsidR="003843B4" w:rsidRPr="002D4BEF">
        <w:rPr>
          <w:rFonts w:eastAsia="Times New Roman"/>
          <w:sz w:val="22"/>
          <w:szCs w:val="22"/>
          <w:lang w:val="en-US" w:eastAsia="ko-KR"/>
        </w:rPr>
        <w:t>T</w:t>
      </w:r>
      <w:r w:rsidR="003843B4" w:rsidRPr="002D4BEF">
        <w:rPr>
          <w:rFonts w:eastAsia="Times New Roman"/>
          <w:sz w:val="22"/>
          <w:szCs w:val="22"/>
          <w:vertAlign w:val="subscript"/>
          <w:lang w:val="en-US" w:eastAsia="ko-KR"/>
        </w:rPr>
        <w:t>FirstSSB</w:t>
      </w:r>
      <w:r w:rsidR="003843B4" w:rsidRPr="002D4BEF">
        <w:rPr>
          <w:rFonts w:eastAsia="Times New Roman"/>
          <w:sz w:val="22"/>
          <w:szCs w:val="22"/>
          <w:lang w:val="en-US" w:eastAsia="ko-KR"/>
        </w:rPr>
        <w:t>+ 5ms</w:t>
      </w:r>
      <w:r w:rsidR="003843B4">
        <w:rPr>
          <w:rFonts w:eastAsia="Times New Roman"/>
          <w:sz w:val="22"/>
          <w:szCs w:val="22"/>
          <w:lang w:val="en-US" w:eastAsia="ko-KR"/>
        </w:rPr>
        <w:t xml:space="preserve"> applies, otherwise </w:t>
      </w:r>
      <w:r w:rsidR="003843B4" w:rsidRPr="002D4BEF">
        <w:rPr>
          <w:rFonts w:eastAsia="Times New Roman"/>
          <w:sz w:val="22"/>
          <w:szCs w:val="22"/>
          <w:lang w:val="en-US" w:eastAsia="ko-KR"/>
        </w:rPr>
        <w:t>T</w:t>
      </w:r>
      <w:r w:rsidR="003843B4" w:rsidRPr="002D4BEF">
        <w:rPr>
          <w:rFonts w:eastAsia="Times New Roman"/>
          <w:sz w:val="22"/>
          <w:szCs w:val="22"/>
          <w:vertAlign w:val="subscript"/>
          <w:lang w:val="en-US" w:eastAsia="ko-KR"/>
        </w:rPr>
        <w:t>FirstSSB_MAX</w:t>
      </w:r>
      <w:r w:rsidR="003843B4" w:rsidRPr="002D4BEF">
        <w:rPr>
          <w:rFonts w:eastAsia="Times New Roman"/>
          <w:sz w:val="22"/>
          <w:szCs w:val="22"/>
          <w:lang w:val="en-US" w:eastAsia="ko-KR"/>
        </w:rPr>
        <w:t xml:space="preserve"> + Trs + 5ms</w:t>
      </w:r>
      <w:r w:rsidR="003843B4">
        <w:rPr>
          <w:rFonts w:eastAsia="Times New Roman"/>
          <w:sz w:val="22"/>
          <w:szCs w:val="22"/>
          <w:lang w:val="en-US" w:eastAsia="ko-KR"/>
        </w:rPr>
        <w:t xml:space="preserve"> applies.</w:t>
      </w:r>
    </w:p>
    <w:p w14:paraId="3BA3F673" w14:textId="3D8785FC" w:rsidR="003843B4" w:rsidRDefault="003843B4" w:rsidP="003843B4">
      <w:pPr>
        <w:spacing w:after="120"/>
        <w:ind w:left="1276" w:hanging="1276"/>
        <w:rPr>
          <w:rFonts w:eastAsia="Times New Roman"/>
          <w:color w:val="1F497D" w:themeColor="text2"/>
          <w:sz w:val="22"/>
          <w:szCs w:val="22"/>
          <w:lang w:eastAsia="ko-KR"/>
        </w:rPr>
      </w:pPr>
      <w:r w:rsidRPr="00FF575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2</w:t>
      </w:r>
      <w:r w:rsidRPr="00FF5754">
        <w:rPr>
          <w:rFonts w:eastAsia="Times New Roman"/>
          <w:b/>
          <w:bCs/>
          <w:color w:val="1F497D" w:themeColor="text2"/>
          <w:sz w:val="22"/>
          <w:szCs w:val="22"/>
          <w:lang w:eastAsia="ko-KR"/>
        </w:rPr>
        <w:t>:</w:t>
      </w:r>
      <w:r w:rsidRPr="00FF5754">
        <w:rPr>
          <w:rFonts w:eastAsia="Times New Roman"/>
          <w:color w:val="1F497D" w:themeColor="text2"/>
          <w:sz w:val="22"/>
          <w:szCs w:val="22"/>
          <w:lang w:eastAsia="ko-KR"/>
        </w:rPr>
        <w:t xml:space="preserve"> </w:t>
      </w:r>
      <w:r w:rsidRPr="00FF5754">
        <w:rPr>
          <w:rFonts w:eastAsia="Times New Roman"/>
          <w:color w:val="1F497D" w:themeColor="text2"/>
          <w:sz w:val="22"/>
          <w:szCs w:val="22"/>
          <w:lang w:eastAsia="ko-KR"/>
        </w:rPr>
        <w:tab/>
      </w:r>
      <w:r w:rsidRPr="003843B4">
        <w:rPr>
          <w:rFonts w:eastAsia="Times New Roman"/>
          <w:color w:val="1F497D" w:themeColor="text2"/>
          <w:sz w:val="22"/>
          <w:szCs w:val="22"/>
          <w:lang w:eastAsia="ko-KR"/>
        </w:rPr>
        <w:t xml:space="preserve">Replace condition on measCycleSCell with time since last reporting of the cell. If the cell has been reported within last 1280ms, </w:t>
      </w:r>
      <w:r w:rsidR="006A0109">
        <w:rPr>
          <w:rFonts w:eastAsia="Times New Roman"/>
          <w:color w:val="1F497D" w:themeColor="text2"/>
          <w:sz w:val="22"/>
          <w:szCs w:val="22"/>
          <w:lang w:eastAsia="ko-KR"/>
        </w:rPr>
        <w:t xml:space="preserve">or alternatively, the measurement period is at most 1280ms, </w:t>
      </w:r>
      <w:r w:rsidRPr="003843B4">
        <w:rPr>
          <w:rFonts w:eastAsia="Times New Roman"/>
          <w:color w:val="1F497D" w:themeColor="text2"/>
          <w:sz w:val="22"/>
          <w:szCs w:val="22"/>
          <w:lang w:eastAsia="ko-KR"/>
        </w:rPr>
        <w:t xml:space="preserve">then </w:t>
      </w:r>
      <w:r w:rsidRPr="003843B4">
        <w:rPr>
          <w:rFonts w:eastAsia="Times New Roman"/>
          <w:color w:val="1F497D" w:themeColor="text2"/>
          <w:sz w:val="22"/>
          <w:szCs w:val="22"/>
          <w:lang w:val="en-US" w:eastAsia="ko-KR"/>
        </w:rPr>
        <w:t>T</w:t>
      </w:r>
      <w:r w:rsidRPr="003843B4">
        <w:rPr>
          <w:rFonts w:eastAsia="Times New Roman"/>
          <w:color w:val="1F497D" w:themeColor="text2"/>
          <w:sz w:val="22"/>
          <w:szCs w:val="22"/>
          <w:vertAlign w:val="subscript"/>
          <w:lang w:val="en-US" w:eastAsia="ko-KR"/>
        </w:rPr>
        <w:t>FirstSSB</w:t>
      </w:r>
      <w:r w:rsidRPr="003843B4">
        <w:rPr>
          <w:rFonts w:eastAsia="Times New Roman"/>
          <w:color w:val="1F497D" w:themeColor="text2"/>
          <w:sz w:val="22"/>
          <w:szCs w:val="22"/>
          <w:lang w:val="en-US" w:eastAsia="ko-KR"/>
        </w:rPr>
        <w:t>+ 5ms applies, otherwise T</w:t>
      </w:r>
      <w:r w:rsidRPr="003843B4">
        <w:rPr>
          <w:rFonts w:eastAsia="Times New Roman"/>
          <w:color w:val="1F497D" w:themeColor="text2"/>
          <w:sz w:val="22"/>
          <w:szCs w:val="22"/>
          <w:vertAlign w:val="subscript"/>
          <w:lang w:val="en-US" w:eastAsia="ko-KR"/>
        </w:rPr>
        <w:t>FirstSSB_MAX</w:t>
      </w:r>
      <w:r w:rsidRPr="003843B4">
        <w:rPr>
          <w:rFonts w:eastAsia="Times New Roman"/>
          <w:color w:val="1F497D" w:themeColor="text2"/>
          <w:sz w:val="22"/>
          <w:szCs w:val="22"/>
          <w:lang w:val="en-US" w:eastAsia="ko-KR"/>
        </w:rPr>
        <w:t xml:space="preserve"> + Trs + 5ms applies.</w:t>
      </w:r>
    </w:p>
    <w:p w14:paraId="74D744EF" w14:textId="77538F9C" w:rsidR="008E0105" w:rsidRPr="009F287B" w:rsidRDefault="003843B4" w:rsidP="0052582B">
      <w:pPr>
        <w:rPr>
          <w:rFonts w:eastAsia="Times New Roman"/>
          <w:sz w:val="22"/>
          <w:szCs w:val="22"/>
          <w:lang w:eastAsia="ko-KR"/>
        </w:rPr>
      </w:pPr>
      <w:r>
        <w:rPr>
          <w:rFonts w:eastAsia="Times New Roman"/>
          <w:sz w:val="22"/>
          <w:szCs w:val="22"/>
          <w:lang w:eastAsia="ko-KR"/>
        </w:rPr>
        <w:t xml:space="preserve">We do not see that similar change would </w:t>
      </w:r>
      <w:r w:rsidR="00D13D41">
        <w:rPr>
          <w:rFonts w:eastAsia="Times New Roman"/>
          <w:sz w:val="22"/>
          <w:szCs w:val="22"/>
          <w:lang w:eastAsia="ko-KR"/>
        </w:rPr>
        <w:t xml:space="preserve">be </w:t>
      </w:r>
      <w:r>
        <w:rPr>
          <w:rFonts w:eastAsia="Times New Roman"/>
          <w:sz w:val="22"/>
          <w:szCs w:val="22"/>
          <w:lang w:eastAsia="ko-KR"/>
        </w:rPr>
        <w:t xml:space="preserve">necessary for activation delay requirements for activation of deactivated SCell. Hence we think that this change can be isolated to Direct SCell activation requirements. </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388B786C" w14:textId="5CE8A8C7" w:rsidR="00C87722" w:rsidRDefault="00D1502B" w:rsidP="00C03198">
      <w:pPr>
        <w:rPr>
          <w:rFonts w:eastAsia="Times New Roman"/>
          <w:color w:val="1F497D" w:themeColor="text2"/>
          <w:sz w:val="22"/>
          <w:szCs w:val="22"/>
          <w:lang w:eastAsia="ko-KR"/>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3843B4">
        <w:rPr>
          <w:sz w:val="22"/>
          <w:lang w:val="en-CA"/>
        </w:rPr>
        <w:t>our view on two outstanding issues for maintenance of core requirements for Direct SCell activation. The following proposals are made:</w:t>
      </w:r>
    </w:p>
    <w:p w14:paraId="6682571F" w14:textId="460FA251" w:rsidR="00FE7518" w:rsidRDefault="00FE7518" w:rsidP="00FE7518">
      <w:pPr>
        <w:spacing w:after="0"/>
        <w:ind w:left="1276" w:hanging="1276"/>
        <w:rPr>
          <w:rFonts w:eastAsia="Times New Roman"/>
          <w:color w:val="1F497D" w:themeColor="text2"/>
          <w:sz w:val="22"/>
          <w:szCs w:val="22"/>
          <w:lang w:eastAsia="ko-KR"/>
        </w:rPr>
      </w:pPr>
      <w:r w:rsidRPr="00FF5754">
        <w:rPr>
          <w:rFonts w:eastAsia="Times New Roman"/>
          <w:b/>
          <w:bCs/>
          <w:color w:val="1F497D" w:themeColor="text2"/>
          <w:sz w:val="22"/>
          <w:szCs w:val="22"/>
          <w:lang w:eastAsia="ko-KR"/>
        </w:rPr>
        <w:t>Proposal 1:</w:t>
      </w:r>
      <w:r w:rsidRPr="00FF5754">
        <w:rPr>
          <w:rFonts w:eastAsia="Times New Roman"/>
          <w:color w:val="1F497D" w:themeColor="text2"/>
          <w:sz w:val="22"/>
          <w:szCs w:val="22"/>
          <w:lang w:eastAsia="ko-KR"/>
        </w:rPr>
        <w:t xml:space="preserve"> </w:t>
      </w:r>
      <w:r w:rsidRPr="00FF5754">
        <w:rPr>
          <w:rFonts w:eastAsia="Times New Roman"/>
          <w:color w:val="1F497D" w:themeColor="text2"/>
          <w:sz w:val="22"/>
          <w:szCs w:val="22"/>
          <w:lang w:eastAsia="ko-KR"/>
        </w:rPr>
        <w:tab/>
        <w:t>RAN4 to conclude that in Rel-16, activation delay requirements for direct activation of SCell in FR1 are applicable when the SCell is configured with single TCI state.</w:t>
      </w:r>
    </w:p>
    <w:p w14:paraId="60D2D47E" w14:textId="77777777" w:rsidR="006A0109" w:rsidRPr="00FF5754" w:rsidRDefault="006A0109" w:rsidP="00FE7518">
      <w:pPr>
        <w:spacing w:after="0"/>
        <w:ind w:left="1276" w:hanging="1276"/>
        <w:rPr>
          <w:rFonts w:eastAsia="Times New Roman"/>
          <w:color w:val="1F497D" w:themeColor="text2"/>
          <w:sz w:val="22"/>
          <w:szCs w:val="22"/>
          <w:lang w:eastAsia="ko-KR"/>
        </w:rPr>
      </w:pPr>
    </w:p>
    <w:p w14:paraId="3C7EF516" w14:textId="77777777" w:rsidR="006A0109" w:rsidRDefault="006A0109" w:rsidP="006A0109">
      <w:pPr>
        <w:spacing w:after="120"/>
        <w:ind w:left="1276" w:hanging="1276"/>
        <w:rPr>
          <w:rFonts w:eastAsia="Times New Roman"/>
          <w:color w:val="1F497D" w:themeColor="text2"/>
          <w:sz w:val="22"/>
          <w:szCs w:val="22"/>
          <w:lang w:eastAsia="ko-KR"/>
        </w:rPr>
      </w:pPr>
      <w:r w:rsidRPr="00FF5754">
        <w:rPr>
          <w:rFonts w:eastAsia="Times New Roman"/>
          <w:b/>
          <w:bCs/>
          <w:color w:val="1F497D" w:themeColor="text2"/>
          <w:sz w:val="22"/>
          <w:szCs w:val="22"/>
          <w:lang w:eastAsia="ko-KR"/>
        </w:rPr>
        <w:t xml:space="preserve">Proposal </w:t>
      </w:r>
      <w:r>
        <w:rPr>
          <w:rFonts w:eastAsia="Times New Roman"/>
          <w:b/>
          <w:bCs/>
          <w:color w:val="1F497D" w:themeColor="text2"/>
          <w:sz w:val="22"/>
          <w:szCs w:val="22"/>
          <w:lang w:eastAsia="ko-KR"/>
        </w:rPr>
        <w:t>2</w:t>
      </w:r>
      <w:r w:rsidRPr="00FF5754">
        <w:rPr>
          <w:rFonts w:eastAsia="Times New Roman"/>
          <w:b/>
          <w:bCs/>
          <w:color w:val="1F497D" w:themeColor="text2"/>
          <w:sz w:val="22"/>
          <w:szCs w:val="22"/>
          <w:lang w:eastAsia="ko-KR"/>
        </w:rPr>
        <w:t>:</w:t>
      </w:r>
      <w:r w:rsidRPr="00FF5754">
        <w:rPr>
          <w:rFonts w:eastAsia="Times New Roman"/>
          <w:color w:val="1F497D" w:themeColor="text2"/>
          <w:sz w:val="22"/>
          <w:szCs w:val="22"/>
          <w:lang w:eastAsia="ko-KR"/>
        </w:rPr>
        <w:t xml:space="preserve"> </w:t>
      </w:r>
      <w:r w:rsidRPr="00FF5754">
        <w:rPr>
          <w:rFonts w:eastAsia="Times New Roman"/>
          <w:color w:val="1F497D" w:themeColor="text2"/>
          <w:sz w:val="22"/>
          <w:szCs w:val="22"/>
          <w:lang w:eastAsia="ko-KR"/>
        </w:rPr>
        <w:tab/>
      </w:r>
      <w:r w:rsidRPr="003843B4">
        <w:rPr>
          <w:rFonts w:eastAsia="Times New Roman"/>
          <w:color w:val="1F497D" w:themeColor="text2"/>
          <w:sz w:val="22"/>
          <w:szCs w:val="22"/>
          <w:lang w:eastAsia="ko-KR"/>
        </w:rPr>
        <w:t xml:space="preserve">Replace condition on measCycleSCell with time since last reporting of the cell. If the cell has been reported within last 1280ms, </w:t>
      </w:r>
      <w:r>
        <w:rPr>
          <w:rFonts w:eastAsia="Times New Roman"/>
          <w:color w:val="1F497D" w:themeColor="text2"/>
          <w:sz w:val="22"/>
          <w:szCs w:val="22"/>
          <w:lang w:eastAsia="ko-KR"/>
        </w:rPr>
        <w:t xml:space="preserve">or alternatively, the measurement period is at most 1280ms, </w:t>
      </w:r>
      <w:r w:rsidRPr="003843B4">
        <w:rPr>
          <w:rFonts w:eastAsia="Times New Roman"/>
          <w:color w:val="1F497D" w:themeColor="text2"/>
          <w:sz w:val="22"/>
          <w:szCs w:val="22"/>
          <w:lang w:eastAsia="ko-KR"/>
        </w:rPr>
        <w:t xml:space="preserve">then </w:t>
      </w:r>
      <w:r w:rsidRPr="003843B4">
        <w:rPr>
          <w:rFonts w:eastAsia="Times New Roman"/>
          <w:color w:val="1F497D" w:themeColor="text2"/>
          <w:sz w:val="22"/>
          <w:szCs w:val="22"/>
          <w:lang w:val="en-US" w:eastAsia="ko-KR"/>
        </w:rPr>
        <w:t>T</w:t>
      </w:r>
      <w:r w:rsidRPr="003843B4">
        <w:rPr>
          <w:rFonts w:eastAsia="Times New Roman"/>
          <w:color w:val="1F497D" w:themeColor="text2"/>
          <w:sz w:val="22"/>
          <w:szCs w:val="22"/>
          <w:vertAlign w:val="subscript"/>
          <w:lang w:val="en-US" w:eastAsia="ko-KR"/>
        </w:rPr>
        <w:t>FirstSSB</w:t>
      </w:r>
      <w:r w:rsidRPr="003843B4">
        <w:rPr>
          <w:rFonts w:eastAsia="Times New Roman"/>
          <w:color w:val="1F497D" w:themeColor="text2"/>
          <w:sz w:val="22"/>
          <w:szCs w:val="22"/>
          <w:lang w:val="en-US" w:eastAsia="ko-KR"/>
        </w:rPr>
        <w:t>+ 5ms applies, otherwise T</w:t>
      </w:r>
      <w:r w:rsidRPr="003843B4">
        <w:rPr>
          <w:rFonts w:eastAsia="Times New Roman"/>
          <w:color w:val="1F497D" w:themeColor="text2"/>
          <w:sz w:val="22"/>
          <w:szCs w:val="22"/>
          <w:vertAlign w:val="subscript"/>
          <w:lang w:val="en-US" w:eastAsia="ko-KR"/>
        </w:rPr>
        <w:t>FirstSSB_MAX</w:t>
      </w:r>
      <w:r w:rsidRPr="003843B4">
        <w:rPr>
          <w:rFonts w:eastAsia="Times New Roman"/>
          <w:color w:val="1F497D" w:themeColor="text2"/>
          <w:sz w:val="22"/>
          <w:szCs w:val="22"/>
          <w:lang w:val="en-US" w:eastAsia="ko-KR"/>
        </w:rPr>
        <w:t xml:space="preserve"> + Trs + 5ms applies.</w:t>
      </w:r>
    </w:p>
    <w:p w14:paraId="1403FC4B" w14:textId="0CD99E82"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0B451E56" w14:textId="0D90E42A" w:rsidR="00DC6172" w:rsidRDefault="00DA3C0F" w:rsidP="000D717D">
      <w:pPr>
        <w:numPr>
          <w:ilvl w:val="0"/>
          <w:numId w:val="9"/>
        </w:numPr>
        <w:tabs>
          <w:tab w:val="left" w:pos="851"/>
        </w:tabs>
        <w:rPr>
          <w:rFonts w:ascii="Arial" w:hAnsi="Arial" w:cs="Arial"/>
          <w:sz w:val="22"/>
          <w:szCs w:val="22"/>
          <w:lang w:val="en-CA"/>
        </w:rPr>
      </w:pPr>
      <w:bookmarkStart w:id="6" w:name="_Ref61004649"/>
      <w:bookmarkEnd w:id="3"/>
      <w:bookmarkEnd w:id="4"/>
      <w:bookmarkEnd w:id="5"/>
      <w:r>
        <w:rPr>
          <w:rFonts w:ascii="Arial" w:hAnsi="Arial" w:cs="Arial"/>
          <w:sz w:val="22"/>
          <w:szCs w:val="22"/>
          <w:lang w:val="en-CA"/>
        </w:rPr>
        <w:t>R4-2103552 “</w:t>
      </w:r>
      <w:r w:rsidRPr="00DA3C0F">
        <w:rPr>
          <w:rFonts w:ascii="Arial" w:hAnsi="Arial" w:cs="Arial"/>
          <w:sz w:val="22"/>
          <w:szCs w:val="22"/>
          <w:lang w:val="en-CA"/>
        </w:rPr>
        <w:t>WF on replacement of measCycleSCell in core requirements for Direct SCell activation</w:t>
      </w:r>
      <w:r w:rsidR="00230DDD">
        <w:rPr>
          <w:rFonts w:ascii="Arial" w:hAnsi="Arial" w:cs="Arial"/>
          <w:sz w:val="22"/>
          <w:szCs w:val="22"/>
          <w:lang w:val="en-CA"/>
        </w:rPr>
        <w:t>”, Apple</w:t>
      </w:r>
      <w:bookmarkEnd w:id="6"/>
    </w:p>
    <w:p w14:paraId="0A8DCADF" w14:textId="126E2DAA" w:rsidR="00DA3C0F" w:rsidRPr="003843B4" w:rsidRDefault="00DA3C0F" w:rsidP="000D717D">
      <w:pPr>
        <w:numPr>
          <w:ilvl w:val="0"/>
          <w:numId w:val="9"/>
        </w:numPr>
        <w:tabs>
          <w:tab w:val="left" w:pos="851"/>
        </w:tabs>
        <w:rPr>
          <w:rFonts w:ascii="Arial" w:hAnsi="Arial" w:cs="Arial"/>
          <w:sz w:val="22"/>
          <w:szCs w:val="22"/>
          <w:lang w:val="en-CA"/>
        </w:rPr>
      </w:pPr>
      <w:bookmarkStart w:id="7" w:name="_Ref68106546"/>
      <w:r w:rsidRPr="003843B4">
        <w:rPr>
          <w:rFonts w:ascii="Arial" w:hAnsi="Arial" w:cs="Arial"/>
          <w:sz w:val="22"/>
          <w:szCs w:val="22"/>
          <w:lang w:val="en-CA"/>
        </w:rPr>
        <w:t>R1-2102015 “</w:t>
      </w:r>
      <w:r w:rsidRPr="003843B4">
        <w:rPr>
          <w:rFonts w:ascii="Arial" w:hAnsi="Arial" w:cs="Arial"/>
          <w:bCs/>
          <w:sz w:val="22"/>
          <w:szCs w:val="22"/>
        </w:rPr>
        <w:t>Reply LS on</w:t>
      </w:r>
      <w:r w:rsidRPr="003843B4">
        <w:rPr>
          <w:rFonts w:ascii="Arial" w:hAnsi="Arial" w:cs="Arial"/>
          <w:sz w:val="22"/>
          <w:szCs w:val="22"/>
        </w:rPr>
        <w:t xml:space="preserve"> </w:t>
      </w:r>
      <w:r w:rsidRPr="003843B4">
        <w:rPr>
          <w:rFonts w:ascii="Arial" w:hAnsi="Arial" w:cs="Arial"/>
          <w:bCs/>
          <w:sz w:val="22"/>
          <w:szCs w:val="22"/>
        </w:rPr>
        <w:t>TCI state indication at Direct SCell activation</w:t>
      </w:r>
      <w:r w:rsidRPr="003843B4">
        <w:rPr>
          <w:rFonts w:ascii="Arial" w:hAnsi="Arial" w:cs="Arial"/>
          <w:sz w:val="22"/>
          <w:szCs w:val="22"/>
          <w:lang w:val="en-CA"/>
        </w:rPr>
        <w:t>”, RAN1</w:t>
      </w:r>
      <w:bookmarkEnd w:id="7"/>
    </w:p>
    <w:sectPr w:rsidR="00DA3C0F" w:rsidRPr="003843B4"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E0F78" w14:textId="77777777" w:rsidR="00781DF9" w:rsidRDefault="00781DF9">
      <w:r>
        <w:separator/>
      </w:r>
    </w:p>
  </w:endnote>
  <w:endnote w:type="continuationSeparator" w:id="0">
    <w:p w14:paraId="48FAE38E" w14:textId="77777777" w:rsidR="00781DF9" w:rsidRDefault="0078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D29D6" w14:textId="77777777" w:rsidR="00781DF9" w:rsidRDefault="00781DF9">
      <w:r>
        <w:separator/>
      </w:r>
    </w:p>
  </w:footnote>
  <w:footnote w:type="continuationSeparator" w:id="0">
    <w:p w14:paraId="03364BF0" w14:textId="77777777" w:rsidR="00781DF9" w:rsidRDefault="0078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A31C9"/>
    <w:multiLevelType w:val="hybridMultilevel"/>
    <w:tmpl w:val="3ED26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2A1BA8"/>
    <w:multiLevelType w:val="hybridMultilevel"/>
    <w:tmpl w:val="0888996C"/>
    <w:lvl w:ilvl="0" w:tplc="3B70BC2E">
      <w:start w:val="1"/>
      <w:numFmt w:val="bullet"/>
      <w:lvlText w:val="•"/>
      <w:lvlJc w:val="left"/>
      <w:pPr>
        <w:tabs>
          <w:tab w:val="num" w:pos="720"/>
        </w:tabs>
        <w:ind w:left="720" w:hanging="360"/>
      </w:pPr>
      <w:rPr>
        <w:rFonts w:ascii="Arial" w:hAnsi="Arial" w:hint="default"/>
      </w:rPr>
    </w:lvl>
    <w:lvl w:ilvl="1" w:tplc="A0C2D5AE">
      <w:numFmt w:val="none"/>
      <w:lvlText w:val=""/>
      <w:lvlJc w:val="left"/>
      <w:pPr>
        <w:tabs>
          <w:tab w:val="num" w:pos="360"/>
        </w:tabs>
      </w:pPr>
    </w:lvl>
    <w:lvl w:ilvl="2" w:tplc="366AD818">
      <w:numFmt w:val="none"/>
      <w:lvlText w:val=""/>
      <w:lvlJc w:val="left"/>
      <w:pPr>
        <w:tabs>
          <w:tab w:val="num" w:pos="360"/>
        </w:tabs>
      </w:pPr>
    </w:lvl>
    <w:lvl w:ilvl="3" w:tplc="CA163430">
      <w:numFmt w:val="none"/>
      <w:lvlText w:val=""/>
      <w:lvlJc w:val="left"/>
      <w:pPr>
        <w:tabs>
          <w:tab w:val="num" w:pos="360"/>
        </w:tabs>
      </w:pPr>
    </w:lvl>
    <w:lvl w:ilvl="4" w:tplc="5FBE6BFE" w:tentative="1">
      <w:start w:val="1"/>
      <w:numFmt w:val="bullet"/>
      <w:lvlText w:val="•"/>
      <w:lvlJc w:val="left"/>
      <w:pPr>
        <w:tabs>
          <w:tab w:val="num" w:pos="3600"/>
        </w:tabs>
        <w:ind w:left="3600" w:hanging="360"/>
      </w:pPr>
      <w:rPr>
        <w:rFonts w:ascii="Arial" w:hAnsi="Arial" w:hint="default"/>
      </w:rPr>
    </w:lvl>
    <w:lvl w:ilvl="5" w:tplc="73061696" w:tentative="1">
      <w:start w:val="1"/>
      <w:numFmt w:val="bullet"/>
      <w:lvlText w:val="•"/>
      <w:lvlJc w:val="left"/>
      <w:pPr>
        <w:tabs>
          <w:tab w:val="num" w:pos="4320"/>
        </w:tabs>
        <w:ind w:left="4320" w:hanging="360"/>
      </w:pPr>
      <w:rPr>
        <w:rFonts w:ascii="Arial" w:hAnsi="Arial" w:hint="default"/>
      </w:rPr>
    </w:lvl>
    <w:lvl w:ilvl="6" w:tplc="E1B22DD8" w:tentative="1">
      <w:start w:val="1"/>
      <w:numFmt w:val="bullet"/>
      <w:lvlText w:val="•"/>
      <w:lvlJc w:val="left"/>
      <w:pPr>
        <w:tabs>
          <w:tab w:val="num" w:pos="5040"/>
        </w:tabs>
        <w:ind w:left="5040" w:hanging="360"/>
      </w:pPr>
      <w:rPr>
        <w:rFonts w:ascii="Arial" w:hAnsi="Arial" w:hint="default"/>
      </w:rPr>
    </w:lvl>
    <w:lvl w:ilvl="7" w:tplc="0512FD6C" w:tentative="1">
      <w:start w:val="1"/>
      <w:numFmt w:val="bullet"/>
      <w:lvlText w:val="•"/>
      <w:lvlJc w:val="left"/>
      <w:pPr>
        <w:tabs>
          <w:tab w:val="num" w:pos="5760"/>
        </w:tabs>
        <w:ind w:left="5760" w:hanging="360"/>
      </w:pPr>
      <w:rPr>
        <w:rFonts w:ascii="Arial" w:hAnsi="Arial" w:hint="default"/>
      </w:rPr>
    </w:lvl>
    <w:lvl w:ilvl="8" w:tplc="C4CA02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BD3742"/>
    <w:multiLevelType w:val="hybridMultilevel"/>
    <w:tmpl w:val="5C522DD4"/>
    <w:lvl w:ilvl="0" w:tplc="52E6A6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A266C1"/>
    <w:multiLevelType w:val="hybridMultilevel"/>
    <w:tmpl w:val="FD1A6784"/>
    <w:lvl w:ilvl="0" w:tplc="CB7033A6">
      <w:start w:val="1"/>
      <w:numFmt w:val="bullet"/>
      <w:lvlText w:val="•"/>
      <w:lvlJc w:val="left"/>
      <w:pPr>
        <w:tabs>
          <w:tab w:val="num" w:pos="720"/>
        </w:tabs>
        <w:ind w:left="720" w:hanging="360"/>
      </w:pPr>
      <w:rPr>
        <w:rFonts w:ascii="Arial" w:hAnsi="Arial" w:hint="default"/>
      </w:rPr>
    </w:lvl>
    <w:lvl w:ilvl="1" w:tplc="D720A8A8">
      <w:numFmt w:val="none"/>
      <w:lvlText w:val=""/>
      <w:lvlJc w:val="left"/>
      <w:pPr>
        <w:tabs>
          <w:tab w:val="num" w:pos="360"/>
        </w:tabs>
      </w:pPr>
    </w:lvl>
    <w:lvl w:ilvl="2" w:tplc="A9640D3E">
      <w:numFmt w:val="none"/>
      <w:lvlText w:val=""/>
      <w:lvlJc w:val="left"/>
      <w:pPr>
        <w:tabs>
          <w:tab w:val="num" w:pos="360"/>
        </w:tabs>
      </w:pPr>
    </w:lvl>
    <w:lvl w:ilvl="3" w:tplc="86CA75A2">
      <w:numFmt w:val="bullet"/>
      <w:lvlText w:val="–"/>
      <w:lvlJc w:val="left"/>
      <w:pPr>
        <w:tabs>
          <w:tab w:val="num" w:pos="2880"/>
        </w:tabs>
        <w:ind w:left="2880" w:hanging="360"/>
      </w:pPr>
      <w:rPr>
        <w:rFonts w:ascii="Arial" w:hAnsi="Arial" w:hint="default"/>
      </w:rPr>
    </w:lvl>
    <w:lvl w:ilvl="4" w:tplc="23DC008C" w:tentative="1">
      <w:start w:val="1"/>
      <w:numFmt w:val="bullet"/>
      <w:lvlText w:val="•"/>
      <w:lvlJc w:val="left"/>
      <w:pPr>
        <w:tabs>
          <w:tab w:val="num" w:pos="3600"/>
        </w:tabs>
        <w:ind w:left="3600" w:hanging="360"/>
      </w:pPr>
      <w:rPr>
        <w:rFonts w:ascii="Arial" w:hAnsi="Arial" w:hint="default"/>
      </w:rPr>
    </w:lvl>
    <w:lvl w:ilvl="5" w:tplc="54966E82" w:tentative="1">
      <w:start w:val="1"/>
      <w:numFmt w:val="bullet"/>
      <w:lvlText w:val="•"/>
      <w:lvlJc w:val="left"/>
      <w:pPr>
        <w:tabs>
          <w:tab w:val="num" w:pos="4320"/>
        </w:tabs>
        <w:ind w:left="4320" w:hanging="360"/>
      </w:pPr>
      <w:rPr>
        <w:rFonts w:ascii="Arial" w:hAnsi="Arial" w:hint="default"/>
      </w:rPr>
    </w:lvl>
    <w:lvl w:ilvl="6" w:tplc="CF5219C6" w:tentative="1">
      <w:start w:val="1"/>
      <w:numFmt w:val="bullet"/>
      <w:lvlText w:val="•"/>
      <w:lvlJc w:val="left"/>
      <w:pPr>
        <w:tabs>
          <w:tab w:val="num" w:pos="5040"/>
        </w:tabs>
        <w:ind w:left="5040" w:hanging="360"/>
      </w:pPr>
      <w:rPr>
        <w:rFonts w:ascii="Arial" w:hAnsi="Arial" w:hint="default"/>
      </w:rPr>
    </w:lvl>
    <w:lvl w:ilvl="7" w:tplc="17E624BE" w:tentative="1">
      <w:start w:val="1"/>
      <w:numFmt w:val="bullet"/>
      <w:lvlText w:val="•"/>
      <w:lvlJc w:val="left"/>
      <w:pPr>
        <w:tabs>
          <w:tab w:val="num" w:pos="5760"/>
        </w:tabs>
        <w:ind w:left="5760" w:hanging="360"/>
      </w:pPr>
      <w:rPr>
        <w:rFonts w:ascii="Arial" w:hAnsi="Arial" w:hint="default"/>
      </w:rPr>
    </w:lvl>
    <w:lvl w:ilvl="8" w:tplc="0D70F9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102C3E"/>
    <w:multiLevelType w:val="hybridMultilevel"/>
    <w:tmpl w:val="2A30DF42"/>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F6D76"/>
    <w:multiLevelType w:val="hybridMultilevel"/>
    <w:tmpl w:val="DE5C0E5A"/>
    <w:lvl w:ilvl="0" w:tplc="155A8C3E">
      <w:start w:val="1"/>
      <w:numFmt w:val="bullet"/>
      <w:lvlText w:val="•"/>
      <w:lvlJc w:val="left"/>
      <w:pPr>
        <w:tabs>
          <w:tab w:val="num" w:pos="720"/>
        </w:tabs>
        <w:ind w:left="720" w:hanging="360"/>
      </w:pPr>
      <w:rPr>
        <w:rFonts w:ascii="Arial" w:hAnsi="Arial" w:hint="default"/>
      </w:rPr>
    </w:lvl>
    <w:lvl w:ilvl="1" w:tplc="AE52F5DA">
      <w:numFmt w:val="none"/>
      <w:lvlText w:val=""/>
      <w:lvlJc w:val="left"/>
      <w:pPr>
        <w:tabs>
          <w:tab w:val="num" w:pos="360"/>
        </w:tabs>
      </w:pPr>
    </w:lvl>
    <w:lvl w:ilvl="2" w:tplc="77322240">
      <w:numFmt w:val="none"/>
      <w:lvlText w:val=""/>
      <w:lvlJc w:val="left"/>
      <w:pPr>
        <w:tabs>
          <w:tab w:val="num" w:pos="360"/>
        </w:tabs>
      </w:pPr>
    </w:lvl>
    <w:lvl w:ilvl="3" w:tplc="71E014FE">
      <w:numFmt w:val="none"/>
      <w:lvlText w:val=""/>
      <w:lvlJc w:val="left"/>
      <w:pPr>
        <w:tabs>
          <w:tab w:val="num" w:pos="360"/>
        </w:tabs>
      </w:pPr>
    </w:lvl>
    <w:lvl w:ilvl="4" w:tplc="9EDE4ACE" w:tentative="1">
      <w:start w:val="1"/>
      <w:numFmt w:val="bullet"/>
      <w:lvlText w:val="•"/>
      <w:lvlJc w:val="left"/>
      <w:pPr>
        <w:tabs>
          <w:tab w:val="num" w:pos="3600"/>
        </w:tabs>
        <w:ind w:left="3600" w:hanging="360"/>
      </w:pPr>
      <w:rPr>
        <w:rFonts w:ascii="Arial" w:hAnsi="Arial" w:hint="default"/>
      </w:rPr>
    </w:lvl>
    <w:lvl w:ilvl="5" w:tplc="48BE07EE" w:tentative="1">
      <w:start w:val="1"/>
      <w:numFmt w:val="bullet"/>
      <w:lvlText w:val="•"/>
      <w:lvlJc w:val="left"/>
      <w:pPr>
        <w:tabs>
          <w:tab w:val="num" w:pos="4320"/>
        </w:tabs>
        <w:ind w:left="4320" w:hanging="360"/>
      </w:pPr>
      <w:rPr>
        <w:rFonts w:ascii="Arial" w:hAnsi="Arial" w:hint="default"/>
      </w:rPr>
    </w:lvl>
    <w:lvl w:ilvl="6" w:tplc="9160B6B4" w:tentative="1">
      <w:start w:val="1"/>
      <w:numFmt w:val="bullet"/>
      <w:lvlText w:val="•"/>
      <w:lvlJc w:val="left"/>
      <w:pPr>
        <w:tabs>
          <w:tab w:val="num" w:pos="5040"/>
        </w:tabs>
        <w:ind w:left="5040" w:hanging="360"/>
      </w:pPr>
      <w:rPr>
        <w:rFonts w:ascii="Arial" w:hAnsi="Arial" w:hint="default"/>
      </w:rPr>
    </w:lvl>
    <w:lvl w:ilvl="7" w:tplc="915ACF04" w:tentative="1">
      <w:start w:val="1"/>
      <w:numFmt w:val="bullet"/>
      <w:lvlText w:val="•"/>
      <w:lvlJc w:val="left"/>
      <w:pPr>
        <w:tabs>
          <w:tab w:val="num" w:pos="5760"/>
        </w:tabs>
        <w:ind w:left="5760" w:hanging="360"/>
      </w:pPr>
      <w:rPr>
        <w:rFonts w:ascii="Arial" w:hAnsi="Arial" w:hint="default"/>
      </w:rPr>
    </w:lvl>
    <w:lvl w:ilvl="8" w:tplc="74E633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05993"/>
    <w:multiLevelType w:val="hybridMultilevel"/>
    <w:tmpl w:val="409E526C"/>
    <w:lvl w:ilvl="0" w:tplc="1D465D08">
      <w:start w:val="1"/>
      <w:numFmt w:val="bullet"/>
      <w:lvlText w:val="•"/>
      <w:lvlJc w:val="left"/>
      <w:pPr>
        <w:tabs>
          <w:tab w:val="num" w:pos="720"/>
        </w:tabs>
        <w:ind w:left="720" w:hanging="360"/>
      </w:pPr>
      <w:rPr>
        <w:rFonts w:ascii="Arial" w:hAnsi="Aria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3A1803"/>
    <w:multiLevelType w:val="hybridMultilevel"/>
    <w:tmpl w:val="193EC98C"/>
    <w:lvl w:ilvl="0" w:tplc="04090001">
      <w:start w:val="1"/>
      <w:numFmt w:val="bullet"/>
      <w:lvlText w:val=""/>
      <w:lvlJc w:val="left"/>
      <w:pPr>
        <w:tabs>
          <w:tab w:val="num" w:pos="720"/>
        </w:tabs>
        <w:ind w:left="720" w:hanging="360"/>
      </w:pPr>
      <w:rPr>
        <w:rFonts w:ascii="Symbol" w:hAnsi="Symbol" w:hint="default"/>
      </w:rPr>
    </w:lvl>
    <w:lvl w:ilvl="1" w:tplc="D29ADB60">
      <w:start w:val="3072"/>
      <w:numFmt w:val="bullet"/>
      <w:lvlText w:val="–"/>
      <w:lvlJc w:val="left"/>
      <w:pPr>
        <w:tabs>
          <w:tab w:val="num" w:pos="1440"/>
        </w:tabs>
        <w:ind w:left="1440" w:hanging="360"/>
      </w:pPr>
      <w:rPr>
        <w:rFonts w:ascii="Arial" w:hAnsi="Arial" w:hint="default"/>
      </w:rPr>
    </w:lvl>
    <w:lvl w:ilvl="2" w:tplc="7A6CEACC">
      <w:start w:val="3072"/>
      <w:numFmt w:val="bullet"/>
      <w:lvlText w:val="•"/>
      <w:lvlJc w:val="left"/>
      <w:pPr>
        <w:tabs>
          <w:tab w:val="num" w:pos="2160"/>
        </w:tabs>
        <w:ind w:left="2160" w:hanging="360"/>
      </w:pPr>
      <w:rPr>
        <w:rFonts w:ascii="Arial" w:hAnsi="Arial" w:hint="default"/>
      </w:rPr>
    </w:lvl>
    <w:lvl w:ilvl="3" w:tplc="5C164A2A">
      <w:start w:val="1"/>
      <w:numFmt w:val="bullet"/>
      <w:lvlText w:val="•"/>
      <w:lvlJc w:val="left"/>
      <w:pPr>
        <w:tabs>
          <w:tab w:val="num" w:pos="2880"/>
        </w:tabs>
        <w:ind w:left="2880" w:hanging="360"/>
      </w:pPr>
      <w:rPr>
        <w:rFonts w:ascii="Arial" w:hAnsi="Arial" w:hint="default"/>
      </w:rPr>
    </w:lvl>
    <w:lvl w:ilvl="4" w:tplc="80B876C8" w:tentative="1">
      <w:start w:val="1"/>
      <w:numFmt w:val="bullet"/>
      <w:lvlText w:val="•"/>
      <w:lvlJc w:val="left"/>
      <w:pPr>
        <w:tabs>
          <w:tab w:val="num" w:pos="3600"/>
        </w:tabs>
        <w:ind w:left="3600" w:hanging="360"/>
      </w:pPr>
      <w:rPr>
        <w:rFonts w:ascii="Arial" w:hAnsi="Arial" w:hint="default"/>
      </w:rPr>
    </w:lvl>
    <w:lvl w:ilvl="5" w:tplc="79680DEC" w:tentative="1">
      <w:start w:val="1"/>
      <w:numFmt w:val="bullet"/>
      <w:lvlText w:val="•"/>
      <w:lvlJc w:val="left"/>
      <w:pPr>
        <w:tabs>
          <w:tab w:val="num" w:pos="4320"/>
        </w:tabs>
        <w:ind w:left="4320" w:hanging="360"/>
      </w:pPr>
      <w:rPr>
        <w:rFonts w:ascii="Arial" w:hAnsi="Arial" w:hint="default"/>
      </w:rPr>
    </w:lvl>
    <w:lvl w:ilvl="6" w:tplc="66C2A284" w:tentative="1">
      <w:start w:val="1"/>
      <w:numFmt w:val="bullet"/>
      <w:lvlText w:val="•"/>
      <w:lvlJc w:val="left"/>
      <w:pPr>
        <w:tabs>
          <w:tab w:val="num" w:pos="5040"/>
        </w:tabs>
        <w:ind w:left="5040" w:hanging="360"/>
      </w:pPr>
      <w:rPr>
        <w:rFonts w:ascii="Arial" w:hAnsi="Arial" w:hint="default"/>
      </w:rPr>
    </w:lvl>
    <w:lvl w:ilvl="7" w:tplc="0C00B9FA" w:tentative="1">
      <w:start w:val="1"/>
      <w:numFmt w:val="bullet"/>
      <w:lvlText w:val="•"/>
      <w:lvlJc w:val="left"/>
      <w:pPr>
        <w:tabs>
          <w:tab w:val="num" w:pos="5760"/>
        </w:tabs>
        <w:ind w:left="5760" w:hanging="360"/>
      </w:pPr>
      <w:rPr>
        <w:rFonts w:ascii="Arial" w:hAnsi="Arial" w:hint="default"/>
      </w:rPr>
    </w:lvl>
    <w:lvl w:ilvl="8" w:tplc="2AA45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C6D47"/>
    <w:multiLevelType w:val="hybridMultilevel"/>
    <w:tmpl w:val="0ABE8990"/>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F170E3D"/>
    <w:multiLevelType w:val="hybridMultilevel"/>
    <w:tmpl w:val="668EBF78"/>
    <w:lvl w:ilvl="0" w:tplc="04090001">
      <w:start w:val="1"/>
      <w:numFmt w:val="bullet"/>
      <w:lvlText w:val=""/>
      <w:lvlJc w:val="left"/>
      <w:pPr>
        <w:tabs>
          <w:tab w:val="num" w:pos="720"/>
        </w:tabs>
        <w:ind w:left="720" w:hanging="360"/>
      </w:pPr>
      <w:rPr>
        <w:rFonts w:ascii="Symbol" w:hAnsi="Symbol" w:hint="default"/>
      </w:rPr>
    </w:lvl>
    <w:lvl w:ilvl="1" w:tplc="2ABE3D98">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63C54A8" w:tentative="1">
      <w:start w:val="1"/>
      <w:numFmt w:val="bullet"/>
      <w:lvlText w:val="•"/>
      <w:lvlJc w:val="left"/>
      <w:pPr>
        <w:tabs>
          <w:tab w:val="num" w:pos="2880"/>
        </w:tabs>
        <w:ind w:left="2880" w:hanging="360"/>
      </w:pPr>
      <w:rPr>
        <w:rFonts w:ascii="Arial" w:hAnsi="Arial" w:hint="default"/>
      </w:rPr>
    </w:lvl>
    <w:lvl w:ilvl="4" w:tplc="17FA31C8" w:tentative="1">
      <w:start w:val="1"/>
      <w:numFmt w:val="bullet"/>
      <w:lvlText w:val="•"/>
      <w:lvlJc w:val="left"/>
      <w:pPr>
        <w:tabs>
          <w:tab w:val="num" w:pos="3600"/>
        </w:tabs>
        <w:ind w:left="3600" w:hanging="360"/>
      </w:pPr>
      <w:rPr>
        <w:rFonts w:ascii="Arial" w:hAnsi="Arial" w:hint="default"/>
      </w:rPr>
    </w:lvl>
    <w:lvl w:ilvl="5" w:tplc="3EC43F8E" w:tentative="1">
      <w:start w:val="1"/>
      <w:numFmt w:val="bullet"/>
      <w:lvlText w:val="•"/>
      <w:lvlJc w:val="left"/>
      <w:pPr>
        <w:tabs>
          <w:tab w:val="num" w:pos="4320"/>
        </w:tabs>
        <w:ind w:left="4320" w:hanging="360"/>
      </w:pPr>
      <w:rPr>
        <w:rFonts w:ascii="Arial" w:hAnsi="Arial" w:hint="default"/>
      </w:rPr>
    </w:lvl>
    <w:lvl w:ilvl="6" w:tplc="9EDC0E74" w:tentative="1">
      <w:start w:val="1"/>
      <w:numFmt w:val="bullet"/>
      <w:lvlText w:val="•"/>
      <w:lvlJc w:val="left"/>
      <w:pPr>
        <w:tabs>
          <w:tab w:val="num" w:pos="5040"/>
        </w:tabs>
        <w:ind w:left="5040" w:hanging="360"/>
      </w:pPr>
      <w:rPr>
        <w:rFonts w:ascii="Arial" w:hAnsi="Arial" w:hint="default"/>
      </w:rPr>
    </w:lvl>
    <w:lvl w:ilvl="7" w:tplc="FBF21F54" w:tentative="1">
      <w:start w:val="1"/>
      <w:numFmt w:val="bullet"/>
      <w:lvlText w:val="•"/>
      <w:lvlJc w:val="left"/>
      <w:pPr>
        <w:tabs>
          <w:tab w:val="num" w:pos="5760"/>
        </w:tabs>
        <w:ind w:left="5760" w:hanging="360"/>
      </w:pPr>
      <w:rPr>
        <w:rFonts w:ascii="Arial" w:hAnsi="Arial" w:hint="default"/>
      </w:rPr>
    </w:lvl>
    <w:lvl w:ilvl="8" w:tplc="3BE067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871CD4"/>
    <w:multiLevelType w:val="hybridMultilevel"/>
    <w:tmpl w:val="E50CB9C4"/>
    <w:lvl w:ilvl="0" w:tplc="4148B832">
      <w:start w:val="1"/>
      <w:numFmt w:val="bullet"/>
      <w:lvlText w:val="•"/>
      <w:lvlJc w:val="left"/>
      <w:pPr>
        <w:tabs>
          <w:tab w:val="num" w:pos="720"/>
        </w:tabs>
        <w:ind w:left="720" w:hanging="360"/>
      </w:pPr>
      <w:rPr>
        <w:rFonts w:ascii="Arial" w:hAnsi="Arial" w:hint="default"/>
      </w:rPr>
    </w:lvl>
    <w:lvl w:ilvl="1" w:tplc="F1D87F3A">
      <w:numFmt w:val="none"/>
      <w:lvlText w:val=""/>
      <w:lvlJc w:val="left"/>
      <w:pPr>
        <w:tabs>
          <w:tab w:val="num" w:pos="360"/>
        </w:tabs>
      </w:pPr>
    </w:lvl>
    <w:lvl w:ilvl="2" w:tplc="72E07690">
      <w:numFmt w:val="none"/>
      <w:lvlText w:val=""/>
      <w:lvlJc w:val="left"/>
      <w:pPr>
        <w:tabs>
          <w:tab w:val="num" w:pos="360"/>
        </w:tabs>
      </w:pPr>
    </w:lvl>
    <w:lvl w:ilvl="3" w:tplc="09CE5F56" w:tentative="1">
      <w:start w:val="1"/>
      <w:numFmt w:val="bullet"/>
      <w:lvlText w:val="•"/>
      <w:lvlJc w:val="left"/>
      <w:pPr>
        <w:tabs>
          <w:tab w:val="num" w:pos="2880"/>
        </w:tabs>
        <w:ind w:left="2880" w:hanging="360"/>
      </w:pPr>
      <w:rPr>
        <w:rFonts w:ascii="Arial" w:hAnsi="Arial" w:hint="default"/>
      </w:rPr>
    </w:lvl>
    <w:lvl w:ilvl="4" w:tplc="E7CE7CCA" w:tentative="1">
      <w:start w:val="1"/>
      <w:numFmt w:val="bullet"/>
      <w:lvlText w:val="•"/>
      <w:lvlJc w:val="left"/>
      <w:pPr>
        <w:tabs>
          <w:tab w:val="num" w:pos="3600"/>
        </w:tabs>
        <w:ind w:left="3600" w:hanging="360"/>
      </w:pPr>
      <w:rPr>
        <w:rFonts w:ascii="Arial" w:hAnsi="Arial" w:hint="default"/>
      </w:rPr>
    </w:lvl>
    <w:lvl w:ilvl="5" w:tplc="CDB6440A" w:tentative="1">
      <w:start w:val="1"/>
      <w:numFmt w:val="bullet"/>
      <w:lvlText w:val="•"/>
      <w:lvlJc w:val="left"/>
      <w:pPr>
        <w:tabs>
          <w:tab w:val="num" w:pos="4320"/>
        </w:tabs>
        <w:ind w:left="4320" w:hanging="360"/>
      </w:pPr>
      <w:rPr>
        <w:rFonts w:ascii="Arial" w:hAnsi="Arial" w:hint="default"/>
      </w:rPr>
    </w:lvl>
    <w:lvl w:ilvl="6" w:tplc="AC4EBC76" w:tentative="1">
      <w:start w:val="1"/>
      <w:numFmt w:val="bullet"/>
      <w:lvlText w:val="•"/>
      <w:lvlJc w:val="left"/>
      <w:pPr>
        <w:tabs>
          <w:tab w:val="num" w:pos="5040"/>
        </w:tabs>
        <w:ind w:left="5040" w:hanging="360"/>
      </w:pPr>
      <w:rPr>
        <w:rFonts w:ascii="Arial" w:hAnsi="Arial" w:hint="default"/>
      </w:rPr>
    </w:lvl>
    <w:lvl w:ilvl="7" w:tplc="87C657BE" w:tentative="1">
      <w:start w:val="1"/>
      <w:numFmt w:val="bullet"/>
      <w:lvlText w:val="•"/>
      <w:lvlJc w:val="left"/>
      <w:pPr>
        <w:tabs>
          <w:tab w:val="num" w:pos="5760"/>
        </w:tabs>
        <w:ind w:left="5760" w:hanging="360"/>
      </w:pPr>
      <w:rPr>
        <w:rFonts w:ascii="Arial" w:hAnsi="Arial" w:hint="default"/>
      </w:rPr>
    </w:lvl>
    <w:lvl w:ilvl="8" w:tplc="A484F8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B04705D"/>
    <w:multiLevelType w:val="hybridMultilevel"/>
    <w:tmpl w:val="CED2F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A74D25"/>
    <w:multiLevelType w:val="hybridMultilevel"/>
    <w:tmpl w:val="24124C5C"/>
    <w:lvl w:ilvl="0" w:tplc="04090001">
      <w:start w:val="1"/>
      <w:numFmt w:val="bullet"/>
      <w:lvlText w:val=""/>
      <w:lvlJc w:val="left"/>
      <w:pPr>
        <w:tabs>
          <w:tab w:val="num" w:pos="720"/>
        </w:tabs>
        <w:ind w:left="720" w:hanging="360"/>
      </w:pPr>
      <w:rPr>
        <w:rFonts w:ascii="Symbol" w:hAnsi="Symbol" w:hint="default"/>
      </w:rPr>
    </w:lvl>
    <w:lvl w:ilvl="1" w:tplc="91667220">
      <w:start w:val="691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753AACB6">
      <w:start w:val="6912"/>
      <w:numFmt w:val="bullet"/>
      <w:lvlText w:val="–"/>
      <w:lvlJc w:val="left"/>
      <w:pPr>
        <w:tabs>
          <w:tab w:val="num" w:pos="2880"/>
        </w:tabs>
        <w:ind w:left="2880" w:hanging="360"/>
      </w:pPr>
      <w:rPr>
        <w:rFonts w:ascii="Arial" w:hAnsi="Arial" w:hint="default"/>
      </w:rPr>
    </w:lvl>
    <w:lvl w:ilvl="4" w:tplc="38D8FFE8">
      <w:start w:val="6912"/>
      <w:numFmt w:val="bullet"/>
      <w:lvlText w:val="»"/>
      <w:lvlJc w:val="left"/>
      <w:pPr>
        <w:tabs>
          <w:tab w:val="num" w:pos="3600"/>
        </w:tabs>
        <w:ind w:left="3600" w:hanging="360"/>
      </w:pPr>
      <w:rPr>
        <w:rFonts w:ascii="Arial" w:hAnsi="Arial" w:hint="default"/>
      </w:rPr>
    </w:lvl>
    <w:lvl w:ilvl="5" w:tplc="19A0905E" w:tentative="1">
      <w:start w:val="1"/>
      <w:numFmt w:val="bullet"/>
      <w:lvlText w:val="•"/>
      <w:lvlJc w:val="left"/>
      <w:pPr>
        <w:tabs>
          <w:tab w:val="num" w:pos="4320"/>
        </w:tabs>
        <w:ind w:left="4320" w:hanging="360"/>
      </w:pPr>
      <w:rPr>
        <w:rFonts w:ascii="Arial" w:hAnsi="Arial" w:hint="default"/>
      </w:rPr>
    </w:lvl>
    <w:lvl w:ilvl="6" w:tplc="EC60D66C" w:tentative="1">
      <w:start w:val="1"/>
      <w:numFmt w:val="bullet"/>
      <w:lvlText w:val="•"/>
      <w:lvlJc w:val="left"/>
      <w:pPr>
        <w:tabs>
          <w:tab w:val="num" w:pos="5040"/>
        </w:tabs>
        <w:ind w:left="5040" w:hanging="360"/>
      </w:pPr>
      <w:rPr>
        <w:rFonts w:ascii="Arial" w:hAnsi="Arial" w:hint="default"/>
      </w:rPr>
    </w:lvl>
    <w:lvl w:ilvl="7" w:tplc="716CC5F6" w:tentative="1">
      <w:start w:val="1"/>
      <w:numFmt w:val="bullet"/>
      <w:lvlText w:val="•"/>
      <w:lvlJc w:val="left"/>
      <w:pPr>
        <w:tabs>
          <w:tab w:val="num" w:pos="5760"/>
        </w:tabs>
        <w:ind w:left="5760" w:hanging="360"/>
      </w:pPr>
      <w:rPr>
        <w:rFonts w:ascii="Arial" w:hAnsi="Arial" w:hint="default"/>
      </w:rPr>
    </w:lvl>
    <w:lvl w:ilvl="8" w:tplc="FD5A26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401ECE"/>
    <w:multiLevelType w:val="hybridMultilevel"/>
    <w:tmpl w:val="A650E918"/>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F9CCC2D2">
      <w:start w:val="26880"/>
      <w:numFmt w:val="bullet"/>
      <w:lvlText w:val="•"/>
      <w:lvlJc w:val="left"/>
      <w:pPr>
        <w:tabs>
          <w:tab w:val="num" w:pos="2160"/>
        </w:tabs>
        <w:ind w:left="2160" w:hanging="360"/>
      </w:pPr>
      <w:rPr>
        <w:rFonts w:ascii="Arial" w:hAnsi="Arial"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3"/>
  </w:num>
  <w:num w:numId="3">
    <w:abstractNumId w:val="38"/>
  </w:num>
  <w:num w:numId="4">
    <w:abstractNumId w:val="22"/>
  </w:num>
  <w:num w:numId="5">
    <w:abstractNumId w:val="24"/>
  </w:num>
  <w:num w:numId="6">
    <w:abstractNumId w:val="4"/>
  </w:num>
  <w:num w:numId="7">
    <w:abstractNumId w:val="3"/>
  </w:num>
  <w:num w:numId="8">
    <w:abstractNumId w:val="44"/>
  </w:num>
  <w:num w:numId="9">
    <w:abstractNumId w:val="31"/>
  </w:num>
  <w:num w:numId="10">
    <w:abstractNumId w:val="37"/>
  </w:num>
  <w:num w:numId="11">
    <w:abstractNumId w:val="25"/>
  </w:num>
  <w:num w:numId="12">
    <w:abstractNumId w:val="12"/>
  </w:num>
  <w:num w:numId="13">
    <w:abstractNumId w:val="29"/>
  </w:num>
  <w:num w:numId="14">
    <w:abstractNumId w:val="18"/>
  </w:num>
  <w:num w:numId="15">
    <w:abstractNumId w:val="7"/>
  </w:num>
  <w:num w:numId="16">
    <w:abstractNumId w:val="41"/>
  </w:num>
  <w:num w:numId="17">
    <w:abstractNumId w:val="1"/>
  </w:num>
  <w:num w:numId="18">
    <w:abstractNumId w:val="28"/>
  </w:num>
  <w:num w:numId="19">
    <w:abstractNumId w:val="16"/>
  </w:num>
  <w:num w:numId="20">
    <w:abstractNumId w:val="13"/>
  </w:num>
  <w:num w:numId="21">
    <w:abstractNumId w:val="34"/>
  </w:num>
  <w:num w:numId="22">
    <w:abstractNumId w:val="21"/>
  </w:num>
  <w:num w:numId="23">
    <w:abstractNumId w:val="8"/>
  </w:num>
  <w:num w:numId="24">
    <w:abstractNumId w:val="2"/>
  </w:num>
  <w:num w:numId="25">
    <w:abstractNumId w:val="14"/>
  </w:num>
  <w:num w:numId="26">
    <w:abstractNumId w:val="42"/>
  </w:num>
  <w:num w:numId="27">
    <w:abstractNumId w:val="19"/>
  </w:num>
  <w:num w:numId="28">
    <w:abstractNumId w:val="36"/>
  </w:num>
  <w:num w:numId="29">
    <w:abstractNumId w:val="9"/>
  </w:num>
  <w:num w:numId="30">
    <w:abstractNumId w:val="40"/>
  </w:num>
  <w:num w:numId="31">
    <w:abstractNumId w:val="5"/>
  </w:num>
  <w:num w:numId="32">
    <w:abstractNumId w:val="11"/>
  </w:num>
  <w:num w:numId="33">
    <w:abstractNumId w:val="17"/>
  </w:num>
  <w:num w:numId="34">
    <w:abstractNumId w:val="30"/>
  </w:num>
  <w:num w:numId="35">
    <w:abstractNumId w:val="0"/>
  </w:num>
  <w:num w:numId="36">
    <w:abstractNumId w:val="15"/>
  </w:num>
  <w:num w:numId="37">
    <w:abstractNumId w:val="39"/>
  </w:num>
  <w:num w:numId="38">
    <w:abstractNumId w:val="6"/>
  </w:num>
  <w:num w:numId="39">
    <w:abstractNumId w:val="35"/>
  </w:num>
  <w:num w:numId="40">
    <w:abstractNumId w:val="26"/>
  </w:num>
  <w:num w:numId="41">
    <w:abstractNumId w:val="27"/>
  </w:num>
  <w:num w:numId="42">
    <w:abstractNumId w:val="32"/>
  </w:num>
  <w:num w:numId="43">
    <w:abstractNumId w:val="10"/>
  </w:num>
  <w:num w:numId="44">
    <w:abstractNumId w:val="20"/>
  </w:num>
  <w:num w:numId="4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A08"/>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9EC"/>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34"/>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4BEF"/>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1C5"/>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432"/>
    <w:rsid w:val="003425B9"/>
    <w:rsid w:val="0034299D"/>
    <w:rsid w:val="00342C18"/>
    <w:rsid w:val="00343CF0"/>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3B4"/>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2AF"/>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22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748"/>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9D1"/>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E7957"/>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0AE3"/>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0A4"/>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0109"/>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DF9"/>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5F9"/>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9C1"/>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90"/>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067"/>
    <w:rsid w:val="00886260"/>
    <w:rsid w:val="008870DE"/>
    <w:rsid w:val="00890CE1"/>
    <w:rsid w:val="00890D66"/>
    <w:rsid w:val="008913B5"/>
    <w:rsid w:val="00891909"/>
    <w:rsid w:val="008919EC"/>
    <w:rsid w:val="00891C04"/>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9F3"/>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1BDF"/>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44D"/>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96"/>
    <w:rsid w:val="009D6249"/>
    <w:rsid w:val="009D6532"/>
    <w:rsid w:val="009D65A9"/>
    <w:rsid w:val="009D6BAD"/>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B4"/>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BE9"/>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271"/>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198"/>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52B"/>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6C8"/>
    <w:rsid w:val="00D07A14"/>
    <w:rsid w:val="00D10C2F"/>
    <w:rsid w:val="00D110B8"/>
    <w:rsid w:val="00D11DB9"/>
    <w:rsid w:val="00D11EAE"/>
    <w:rsid w:val="00D1228B"/>
    <w:rsid w:val="00D12AC0"/>
    <w:rsid w:val="00D12ECA"/>
    <w:rsid w:val="00D12EFE"/>
    <w:rsid w:val="00D135AB"/>
    <w:rsid w:val="00D135B4"/>
    <w:rsid w:val="00D13D41"/>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3C0F"/>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518"/>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54"/>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4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6433084">
      <w:bodyDiv w:val="1"/>
      <w:marLeft w:val="0"/>
      <w:marRight w:val="0"/>
      <w:marTop w:val="0"/>
      <w:marBottom w:val="0"/>
      <w:divBdr>
        <w:top w:val="none" w:sz="0" w:space="0" w:color="auto"/>
        <w:left w:val="none" w:sz="0" w:space="0" w:color="auto"/>
        <w:bottom w:val="none" w:sz="0" w:space="0" w:color="auto"/>
        <w:right w:val="none" w:sz="0" w:space="0" w:color="auto"/>
      </w:divBdr>
      <w:divsChild>
        <w:div w:id="1876042469">
          <w:marLeft w:val="360"/>
          <w:marRight w:val="0"/>
          <w:marTop w:val="200"/>
          <w:marBottom w:val="0"/>
          <w:divBdr>
            <w:top w:val="none" w:sz="0" w:space="0" w:color="auto"/>
            <w:left w:val="none" w:sz="0" w:space="0" w:color="auto"/>
            <w:bottom w:val="none" w:sz="0" w:space="0" w:color="auto"/>
            <w:right w:val="none" w:sz="0" w:space="0" w:color="auto"/>
          </w:divBdr>
        </w:div>
        <w:div w:id="698897430">
          <w:marLeft w:val="1080"/>
          <w:marRight w:val="0"/>
          <w:marTop w:val="100"/>
          <w:marBottom w:val="0"/>
          <w:divBdr>
            <w:top w:val="none" w:sz="0" w:space="0" w:color="auto"/>
            <w:left w:val="none" w:sz="0" w:space="0" w:color="auto"/>
            <w:bottom w:val="none" w:sz="0" w:space="0" w:color="auto"/>
            <w:right w:val="none" w:sz="0" w:space="0" w:color="auto"/>
          </w:divBdr>
        </w:div>
        <w:div w:id="2118286780">
          <w:marLeft w:val="1800"/>
          <w:marRight w:val="0"/>
          <w:marTop w:val="100"/>
          <w:marBottom w:val="0"/>
          <w:divBdr>
            <w:top w:val="none" w:sz="0" w:space="0" w:color="auto"/>
            <w:left w:val="none" w:sz="0" w:space="0" w:color="auto"/>
            <w:bottom w:val="none" w:sz="0" w:space="0" w:color="auto"/>
            <w:right w:val="none" w:sz="0" w:space="0" w:color="auto"/>
          </w:divBdr>
        </w:div>
        <w:div w:id="565914773">
          <w:marLeft w:val="1800"/>
          <w:marRight w:val="0"/>
          <w:marTop w:val="100"/>
          <w:marBottom w:val="0"/>
          <w:divBdr>
            <w:top w:val="none" w:sz="0" w:space="0" w:color="auto"/>
            <w:left w:val="none" w:sz="0" w:space="0" w:color="auto"/>
            <w:bottom w:val="none" w:sz="0" w:space="0" w:color="auto"/>
            <w:right w:val="none" w:sz="0" w:space="0" w:color="auto"/>
          </w:divBdr>
        </w:div>
        <w:div w:id="1036587352">
          <w:marLeft w:val="1080"/>
          <w:marRight w:val="0"/>
          <w:marTop w:val="100"/>
          <w:marBottom w:val="0"/>
          <w:divBdr>
            <w:top w:val="none" w:sz="0" w:space="0" w:color="auto"/>
            <w:left w:val="none" w:sz="0" w:space="0" w:color="auto"/>
            <w:bottom w:val="none" w:sz="0" w:space="0" w:color="auto"/>
            <w:right w:val="none" w:sz="0" w:space="0" w:color="auto"/>
          </w:divBdr>
        </w:div>
        <w:div w:id="151223288">
          <w:marLeft w:val="1800"/>
          <w:marRight w:val="0"/>
          <w:marTop w:val="100"/>
          <w:marBottom w:val="0"/>
          <w:divBdr>
            <w:top w:val="none" w:sz="0" w:space="0" w:color="auto"/>
            <w:left w:val="none" w:sz="0" w:space="0" w:color="auto"/>
            <w:bottom w:val="none" w:sz="0" w:space="0" w:color="auto"/>
            <w:right w:val="none" w:sz="0" w:space="0" w:color="auto"/>
          </w:divBdr>
        </w:div>
        <w:div w:id="887105712">
          <w:marLeft w:val="1800"/>
          <w:marRight w:val="0"/>
          <w:marTop w:val="100"/>
          <w:marBottom w:val="0"/>
          <w:divBdr>
            <w:top w:val="none" w:sz="0" w:space="0" w:color="auto"/>
            <w:left w:val="none" w:sz="0" w:space="0" w:color="auto"/>
            <w:bottom w:val="none" w:sz="0" w:space="0" w:color="auto"/>
            <w:right w:val="none" w:sz="0" w:space="0" w:color="auto"/>
          </w:divBdr>
        </w:div>
        <w:div w:id="1010909848">
          <w:marLeft w:val="1080"/>
          <w:marRight w:val="0"/>
          <w:marTop w:val="100"/>
          <w:marBottom w:val="0"/>
          <w:divBdr>
            <w:top w:val="none" w:sz="0" w:space="0" w:color="auto"/>
            <w:left w:val="none" w:sz="0" w:space="0" w:color="auto"/>
            <w:bottom w:val="none" w:sz="0" w:space="0" w:color="auto"/>
            <w:right w:val="none" w:sz="0" w:space="0" w:color="auto"/>
          </w:divBdr>
        </w:div>
        <w:div w:id="768545554">
          <w:marLeft w:val="1080"/>
          <w:marRight w:val="0"/>
          <w:marTop w:val="100"/>
          <w:marBottom w:val="0"/>
          <w:divBdr>
            <w:top w:val="none" w:sz="0" w:space="0" w:color="auto"/>
            <w:left w:val="none" w:sz="0" w:space="0" w:color="auto"/>
            <w:bottom w:val="none" w:sz="0" w:space="0" w:color="auto"/>
            <w:right w:val="none" w:sz="0" w:space="0" w:color="auto"/>
          </w:divBdr>
        </w:div>
        <w:div w:id="670640215">
          <w:marLeft w:val="1800"/>
          <w:marRight w:val="0"/>
          <w:marTop w:val="100"/>
          <w:marBottom w:val="0"/>
          <w:divBdr>
            <w:top w:val="none" w:sz="0" w:space="0" w:color="auto"/>
            <w:left w:val="none" w:sz="0" w:space="0" w:color="auto"/>
            <w:bottom w:val="none" w:sz="0" w:space="0" w:color="auto"/>
            <w:right w:val="none" w:sz="0" w:space="0" w:color="auto"/>
          </w:divBdr>
        </w:div>
        <w:div w:id="631444222">
          <w:marLeft w:val="1800"/>
          <w:marRight w:val="0"/>
          <w:marTop w:val="100"/>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931</Words>
  <Characters>5312</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TCI state activation at Direct SCell activation</vt:lpstr>
      <vt:lpstr>    Measurement rate in delay requirements for Direct SCell activation</vt:lpstr>
      <vt:lpstr>Summary and Conclusion</vt:lpstr>
      <vt:lpstr>References</vt:lpstr>
    </vt:vector>
  </TitlesOfParts>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2021-03-30T15:59:00Z</dcterms:created>
  <dcterms:modified xsi:type="dcterms:W3CDTF">2021-04-02T13:37:00Z</dcterms:modified>
</cp:coreProperties>
</file>